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2993D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绥棱县人民政府关于划定阁山水库工程</w:t>
      </w:r>
    </w:p>
    <w:p w14:paraId="5974D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管理与保护范围的公告</w:t>
      </w:r>
    </w:p>
    <w:p w14:paraId="47E901C1">
      <w:pPr>
        <w:spacing w:after="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 w14:paraId="5D7B48C1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开展水库管理范围与保护范围划定工作，建立范围明确、权属清晰、责任落实的河湖和水利工程管理保护责任体系，是规范河湖和水利工程运行管理、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保障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效益充分发挥的重要抓手。</w:t>
      </w:r>
    </w:p>
    <w:p w14:paraId="76ADB4EB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根据《水利部关于加快推进河湖管理范围划定工作的通知》、《关于加快全省河湖管理范围划界的决定》、《黑龙江省河湖和水利工程划界技术要求》等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相关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规定，并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依据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《河湖管理范围划定技术规范》（SL/T852-2025）及《关于做好2026年河湖管理重点工作的通知》（黑水办发〔2026〕11号）文件要求，依法依规按照程序划定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阁山水库管理范围与保护范围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，现将具体情况公告如下：</w:t>
      </w:r>
    </w:p>
    <w:p w14:paraId="5914CACF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一、基本原则</w:t>
      </w:r>
    </w:p>
    <w:p w14:paraId="042616D3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依法划定。依据国家及黑龙江省法律法规划定江河湖库管理范围。</w:t>
      </w:r>
    </w:p>
    <w:p w14:paraId="44464F27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统筹协调。各级河长负责统筹协调江河湖库管理范围划定具体工作。江河湖库管理范围的划定要统筹好与生态保护红线、防洪规划区、水工程管理保护范围和自然保护区、饮用水水源保护区、湿地公园保护范围等各类保护地边界的衔接。</w:t>
      </w:r>
    </w:p>
    <w:p w14:paraId="58577557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权属不变。江河湖库管理范围的土地权属维持不变，相关职能部门依法实施管理范围监管，维护江河湖库水生态水环境安全。</w:t>
      </w:r>
    </w:p>
    <w:p w14:paraId="2110C28C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分级负责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相关设区市、县(市、区)负责公告实施。</w:t>
      </w:r>
    </w:p>
    <w:p w14:paraId="1B25CECB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二、划界标准</w:t>
      </w:r>
    </w:p>
    <w:p w14:paraId="324CA910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管理范围划界标准</w:t>
      </w:r>
    </w:p>
    <w:p w14:paraId="256DD7B8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1）水库上游库区管理范围</w:t>
      </w:r>
    </w:p>
    <w:p w14:paraId="01F98058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根据黑龙江省努敏河阁山水库初设批复及水库土地征用线，确定阁山水库工程上游库区管理范围为水库土地征用线以内的库区，具体标准如下：</w:t>
      </w:r>
    </w:p>
    <w:p w14:paraId="5BBD62EB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（1）林地和其他土地采用正常蓄水位230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；</w:t>
      </w:r>
    </w:p>
    <w:p w14:paraId="0B88BEFF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（2）耕、园地按正常蓄水位230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加0.50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超高即230.50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接5年一遇设计回水水面线；</w:t>
      </w:r>
    </w:p>
    <w:p w14:paraId="1813FD27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（3）居民点按正常蓄水位230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加1.0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超高即231.0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接20年一遇设计洪水回水水面线。</w:t>
      </w:r>
    </w:p>
    <w:p w14:paraId="51E383B4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本次划界采用上述标准划定水库上游库区管理范围，经划定后对比，水库上游库区管理范围和土地征用线一致。</w:t>
      </w:r>
    </w:p>
    <w:p w14:paraId="2040759F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2）枢纽工程管理范围</w:t>
      </w:r>
    </w:p>
    <w:p w14:paraId="63ED1772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阁山水库工程枢纽区包含的建筑物有水库大坝、溢洪道、电站厂房、输水洞及其它附属设施等。阁山水库建设征地时《水库工程管理设计规范》（SL106-2017）尚未执行，因此依据的是《水库工程管理设计规范》（SL106-96）第3.0.2.1条规定，山丘区水库工程大坝的管理范围为上游从坝轴线向上150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（不含工程征地、库区征地重复部分）。下游从坝脚线向下100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，上、下游均与坝头、管理范围端线相衔接，大坝两端距坝端200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 w14:paraId="19A96395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3）建筑物工程管理范围</w:t>
      </w:r>
    </w:p>
    <w:p w14:paraId="50C65ABB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溢洪道、输水洞、电站厂房等建筑物的管理范围为建筑物外轮廓线向外100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。鱼类增殖站工程管理范围为自工程本身征地边界线向外取50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，鱼道工程管理范围为自工程本身征地边界线向外取20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。鱼类增殖站与路之间零星地块计入管理范围。</w:t>
      </w:r>
    </w:p>
    <w:p w14:paraId="7D509C7B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保护范围划界标准</w:t>
      </w:r>
    </w:p>
    <w:p w14:paraId="57EB59EC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1）枢纽工程保护范围</w:t>
      </w:r>
    </w:p>
    <w:p w14:paraId="7AE5A1C6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依据《水库工程管理设计规范》（SL106-96）中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水利工程保护范围划定标准，工程保护范围为在工程管理范围边界线外延，主要建筑物不少于200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。因此，本次划界枢纽工程保护范围为大坝主体工程管理范围外延200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 w14:paraId="567C3079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2）建筑物工程保护范围</w:t>
      </w:r>
    </w:p>
    <w:p w14:paraId="333CFBA3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依据《水库工程管理设计规范》（SL106-96）中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水利工程保护范围划定标准，工程保护范围为在工程管理范围边界线外延，一般建筑物不少于50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。因此，本次划界建筑物保护范围为在工程管理范围边界线外延50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 w14:paraId="023A6C75">
      <w:pPr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三、划界成果</w:t>
      </w:r>
    </w:p>
    <w:p w14:paraId="657401E9">
      <w:pPr>
        <w:spacing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阁山水库划界工程范围总长度为15.64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千米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、总面积592.67亩，工程管理范围总长度为71.11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千米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、总面积76426.88亩，工程保护范围线总长度为14.40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千米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、总面积1636.78亩，详见下表。</w:t>
      </w:r>
    </w:p>
    <w:tbl>
      <w:tblPr>
        <w:tblStyle w:val="15"/>
        <w:tblW w:w="485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315"/>
        <w:gridCol w:w="2316"/>
        <w:gridCol w:w="1369"/>
        <w:gridCol w:w="1742"/>
      </w:tblGrid>
      <w:tr w14:paraId="37CCD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Header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8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77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9A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界限名称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7E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行政权属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A9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划界面积（亩</w:t>
            </w:r>
            <w:r>
              <w:rPr>
                <w:rStyle w:val="3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）</w:t>
            </w:r>
          </w:p>
        </w:tc>
      </w:tr>
      <w:tr w14:paraId="23C3C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9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1</w:t>
            </w:r>
          </w:p>
        </w:tc>
        <w:tc>
          <w:tcPr>
            <w:tcW w:w="1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C9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阁山主体工程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A9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工程范围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36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绥棱县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2D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353.23</w:t>
            </w:r>
          </w:p>
        </w:tc>
      </w:tr>
      <w:tr w14:paraId="73753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E7A4"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45725"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FF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管理范围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CE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绥棱县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63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1189.72</w:t>
            </w:r>
          </w:p>
        </w:tc>
      </w:tr>
      <w:tr w14:paraId="5D76C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2D299"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621E7"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F9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保护范围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ED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绥棱县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A2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1444.02</w:t>
            </w:r>
          </w:p>
        </w:tc>
      </w:tr>
      <w:tr w14:paraId="3703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C0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2</w:t>
            </w:r>
          </w:p>
        </w:tc>
        <w:tc>
          <w:tcPr>
            <w:tcW w:w="1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AB8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建筑物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38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工程范围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4C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绥棱县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14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239.44</w:t>
            </w:r>
          </w:p>
        </w:tc>
      </w:tr>
      <w:tr w14:paraId="4F203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FA33E"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64C3A"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72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管理范围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96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绥棱县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D6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438.25</w:t>
            </w:r>
          </w:p>
        </w:tc>
      </w:tr>
      <w:tr w14:paraId="6A28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2750B"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0F512"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69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保护范围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74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绥棱县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E3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192.76</w:t>
            </w:r>
          </w:p>
        </w:tc>
      </w:tr>
      <w:tr w14:paraId="37C09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D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3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E2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水库上游管理范围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A3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管理范围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DE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绥棱县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34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74798.90</w:t>
            </w:r>
          </w:p>
        </w:tc>
      </w:tr>
      <w:tr w14:paraId="4CB55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71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8A5AB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89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工程范围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9E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绥棱县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F6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592.67</w:t>
            </w:r>
          </w:p>
        </w:tc>
      </w:tr>
      <w:tr w14:paraId="28A53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7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51E90"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27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管理范围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DE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绥棱县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C4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76426.88</w:t>
            </w:r>
          </w:p>
        </w:tc>
      </w:tr>
      <w:tr w14:paraId="1BF7A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7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13F9B"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20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保护范围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E3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绥棱县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AC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1636.78</w:t>
            </w:r>
          </w:p>
        </w:tc>
      </w:tr>
    </w:tbl>
    <w:p w14:paraId="4566626C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3891CCD4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5267F38B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43CFE8EA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55DD47F4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452F0CDB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1109C873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31139562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32B5768C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1318AB7E">
      <w:pPr>
        <w:spacing w:after="0" w:line="24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15811BFD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附图1：水库上游管理范围划定示意图</w:t>
      </w:r>
    </w:p>
    <w:p w14:paraId="5864A046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Cs w:val="28"/>
        </w:rPr>
        <w:drawing>
          <wp:inline distT="0" distB="0" distL="114300" distR="114300">
            <wp:extent cx="5274310" cy="7459345"/>
            <wp:effectExtent l="0" t="0" r="2540" b="8255"/>
            <wp:docPr id="1" name="图片 1" descr="上库区管理范围改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库区管理范围改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FB25D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  <w:sectPr>
          <w:footerReference r:id="rId5" w:type="default"/>
          <w:pgSz w:w="11906" w:h="16838"/>
          <w:pgMar w:top="1361" w:right="1701" w:bottom="1361" w:left="1701" w:header="851" w:footer="851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BBCD6CD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附图2：各功能区管理及保护范围划定示意图</w:t>
      </w:r>
    </w:p>
    <w:p w14:paraId="3404CC4D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Cs w:val="28"/>
        </w:rPr>
        <w:drawing>
          <wp:inline distT="0" distB="0" distL="114300" distR="114300">
            <wp:extent cx="7287260" cy="4598670"/>
            <wp:effectExtent l="0" t="0" r="8890" b="11430"/>
            <wp:docPr id="2" name="图片 2" descr="枢纽区示意图改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枢纽区示意图改_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726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9812666"/>
      <w:docPartObj>
        <w:docPartGallery w:val="autotext"/>
      </w:docPartObj>
    </w:sdtPr>
    <w:sdtContent>
      <w:p w14:paraId="3CF96F4F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3AA13CF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CD"/>
    <w:rsid w:val="00021A70"/>
    <w:rsid w:val="00040DD2"/>
    <w:rsid w:val="00072237"/>
    <w:rsid w:val="000E5AEE"/>
    <w:rsid w:val="001D5F3B"/>
    <w:rsid w:val="00201C11"/>
    <w:rsid w:val="003048CD"/>
    <w:rsid w:val="006F0EC9"/>
    <w:rsid w:val="0099010C"/>
    <w:rsid w:val="00A27AC2"/>
    <w:rsid w:val="00C60473"/>
    <w:rsid w:val="00D67FF7"/>
    <w:rsid w:val="00DC6522"/>
    <w:rsid w:val="00DF7EB4"/>
    <w:rsid w:val="00E252CA"/>
    <w:rsid w:val="00F038C3"/>
    <w:rsid w:val="054B33AB"/>
    <w:rsid w:val="24F27841"/>
    <w:rsid w:val="43E8393F"/>
    <w:rsid w:val="771B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font2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1363</Words>
  <Characters>1495</Characters>
  <Lines>14</Lines>
  <Paragraphs>4</Paragraphs>
  <TotalTime>1351</TotalTime>
  <ScaleCrop>false</ScaleCrop>
  <LinksUpToDate>false</LinksUpToDate>
  <CharactersWithSpaces>1495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2026-06-26T02:51:00Z</dcterms:created>
  <dc:creator>Administrator</dc:creator>
  <cp:lastModifiedBy>小道消息</cp:lastModifiedBy>
  <cp:lastPrinted>2026-06-29T03:11:00Z</cp:lastPrinted>
  <dcterms:modified xsi:type="dcterms:W3CDTF">2026-07-02T23:49:55Z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eyJoZGlkIjoiZjQzYjhiYzkzMDRmMTE2YmRkMGE5NjgxYmE2ODg1NjkiLCJ1c2VySWQiOiIxNDUxNzQ0MjA3In0=</vt:lpwstr>
  </property>
  <property fmtid="{D5CDD505-2E9C-101B-9397-08002B2CF9AE}" pid="3" name="KSOProductBuildVer">
    <vt:lpwstr>2052-12.1.0.26375</vt:lpwstr>
  </property>
  <property fmtid="{D5CDD505-2E9C-101B-9397-08002B2CF9AE}" pid="4" name="ICV">
    <vt:lpwstr>F243AA5A20AB4AA0BF8D42E51C5C0909_13</vt:lpwstr>
  </property>
</Properties>
</file>