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CE035">
      <w:pPr>
        <w:pStyle w:val="10"/>
      </w:pPr>
      <w:bookmarkStart w:id="0" w:name="OLE_LINK117"/>
      <w:bookmarkStart w:id="1" w:name="OLE_LINK115"/>
      <w:bookmarkStart w:id="2" w:name="OLE_LINK116"/>
    </w:p>
    <w:p w14:paraId="2E475DF5">
      <w:pPr>
        <w:ind w:firstLine="640"/>
      </w:pPr>
    </w:p>
    <w:p w14:paraId="2429859E">
      <w:pPr>
        <w:ind w:firstLine="640"/>
      </w:pPr>
    </w:p>
    <w:p w14:paraId="73D62635">
      <w:pPr>
        <w:ind w:firstLine="640"/>
      </w:pPr>
    </w:p>
    <w:p w14:paraId="0B55A347">
      <w:pPr>
        <w:ind w:firstLine="640"/>
      </w:pPr>
      <w:bookmarkStart w:id="145" w:name="_GoBack"/>
      <w:bookmarkEnd w:id="145"/>
    </w:p>
    <w:bookmarkEnd w:id="0"/>
    <w:bookmarkEnd w:id="1"/>
    <w:bookmarkEnd w:id="2"/>
    <w:p w14:paraId="2691AA17">
      <w:pPr>
        <w:ind w:firstLine="0" w:firstLineChars="0"/>
        <w:jc w:val="center"/>
        <w:rPr>
          <w:rFonts w:eastAsia="方正小标宋简体" w:cs="Times New Roman"/>
          <w:sz w:val="44"/>
          <w:szCs w:val="44"/>
        </w:rPr>
      </w:pPr>
      <w:r>
        <w:rPr>
          <w:rFonts w:hint="eastAsia" w:eastAsia="方正小标宋简体" w:cs="Times New Roman"/>
          <w:sz w:val="44"/>
          <w:szCs w:val="44"/>
        </w:rPr>
        <w:t>后头乡</w:t>
      </w:r>
      <w:r>
        <w:rPr>
          <w:rFonts w:eastAsia="方正小标宋简体" w:cs="Times New Roman"/>
          <w:sz w:val="44"/>
          <w:szCs w:val="44"/>
        </w:rPr>
        <w:t>国土空间总体规划</w:t>
      </w:r>
    </w:p>
    <w:p w14:paraId="5D147B32">
      <w:pPr>
        <w:ind w:firstLine="0" w:firstLineChars="0"/>
        <w:jc w:val="center"/>
        <w:rPr>
          <w:rFonts w:eastAsia="方正小标宋简体"/>
          <w:sz w:val="44"/>
          <w:szCs w:val="44"/>
        </w:rPr>
      </w:pPr>
      <w:r>
        <w:rPr>
          <w:rFonts w:ascii="方正小标宋简体" w:eastAsia="方正小标宋简体"/>
          <w:sz w:val="44"/>
          <w:szCs w:val="44"/>
        </w:rPr>
        <w:t>（</w:t>
      </w:r>
      <w:r>
        <w:rPr>
          <w:rFonts w:eastAsia="方正小标宋简体"/>
          <w:sz w:val="44"/>
          <w:szCs w:val="44"/>
        </w:rPr>
        <w:t>2021</w:t>
      </w:r>
      <w:r>
        <w:rPr>
          <w:rFonts w:hint="eastAsia" w:eastAsia="方正小标宋简体"/>
          <w:sz w:val="44"/>
          <w:szCs w:val="44"/>
        </w:rPr>
        <w:t>—</w:t>
      </w:r>
      <w:r>
        <w:rPr>
          <w:rFonts w:eastAsia="方正小标宋简体"/>
          <w:sz w:val="44"/>
          <w:szCs w:val="44"/>
        </w:rPr>
        <w:t>2035</w:t>
      </w:r>
      <w:r>
        <w:rPr>
          <w:rFonts w:ascii="方正小标宋简体" w:eastAsia="方正小标宋简体"/>
          <w:sz w:val="44"/>
          <w:szCs w:val="44"/>
        </w:rPr>
        <w:t>年）</w:t>
      </w:r>
    </w:p>
    <w:p w14:paraId="52505A4B">
      <w:pPr>
        <w:pStyle w:val="19"/>
        <w:ind w:firstLine="640"/>
      </w:pPr>
    </w:p>
    <w:p w14:paraId="2B61B04B">
      <w:pPr>
        <w:ind w:firstLine="640"/>
      </w:pPr>
    </w:p>
    <w:p w14:paraId="494B47F5">
      <w:pPr>
        <w:ind w:firstLine="640"/>
      </w:pPr>
    </w:p>
    <w:p w14:paraId="513C498C">
      <w:pPr>
        <w:ind w:firstLine="640"/>
      </w:pPr>
    </w:p>
    <w:p w14:paraId="11B46637">
      <w:pPr>
        <w:ind w:firstLine="640"/>
      </w:pPr>
    </w:p>
    <w:p w14:paraId="2A586248">
      <w:pPr>
        <w:ind w:firstLine="640"/>
      </w:pPr>
    </w:p>
    <w:p w14:paraId="6BE94FC3">
      <w:pPr>
        <w:ind w:firstLine="640"/>
      </w:pPr>
    </w:p>
    <w:p w14:paraId="7D298626">
      <w:pPr>
        <w:ind w:firstLine="640"/>
      </w:pPr>
    </w:p>
    <w:p w14:paraId="2AEC149B">
      <w:pPr>
        <w:ind w:firstLine="0" w:firstLineChars="0"/>
      </w:pPr>
    </w:p>
    <w:p w14:paraId="60890140">
      <w:pPr>
        <w:ind w:firstLine="640"/>
      </w:pPr>
    </w:p>
    <w:p w14:paraId="4A34C84E">
      <w:pPr>
        <w:ind w:firstLine="0" w:firstLineChars="0"/>
        <w:jc w:val="center"/>
        <w:rPr>
          <w:rFonts w:eastAsia="方正小标宋简体" w:cs="Times New Roman"/>
        </w:rPr>
      </w:pPr>
      <w:r>
        <w:rPr>
          <w:rFonts w:hint="eastAsia" w:eastAsia="方正小标宋简体" w:cs="Times New Roman"/>
        </w:rPr>
        <w:t>后头乡</w:t>
      </w:r>
      <w:r>
        <w:rPr>
          <w:rFonts w:eastAsia="方正小标宋简体" w:cs="Times New Roman"/>
        </w:rPr>
        <w:t>人民政府</w:t>
      </w:r>
    </w:p>
    <w:p w14:paraId="09D04D95">
      <w:pPr>
        <w:ind w:firstLine="0" w:firstLineChars="0"/>
        <w:jc w:val="center"/>
        <w:rPr>
          <w:rFonts w:eastAsia="方正小标宋简体" w:cs="Times New Roman"/>
        </w:rPr>
      </w:pPr>
      <w:r>
        <w:rPr>
          <w:rFonts w:hint="eastAsia" w:eastAsia="方正小标宋简体"/>
        </w:rPr>
        <w:t>2</w:t>
      </w:r>
      <w:r>
        <w:rPr>
          <w:rFonts w:eastAsia="方正小标宋简体"/>
        </w:rPr>
        <w:t>025</w:t>
      </w:r>
      <w:r>
        <w:rPr>
          <w:rFonts w:hint="eastAsia" w:eastAsia="方正小标宋简体" w:cs="Times New Roman"/>
        </w:rPr>
        <w:t>年</w:t>
      </w:r>
      <w:r>
        <w:rPr>
          <w:rFonts w:hint="eastAsia" w:eastAsia="方正小标宋简体"/>
        </w:rPr>
        <w:t>3</w:t>
      </w:r>
      <w:r>
        <w:rPr>
          <w:rFonts w:hint="eastAsia" w:eastAsia="方正小标宋简体" w:cs="Times New Roman"/>
        </w:rPr>
        <w:t>月</w:t>
      </w:r>
    </w:p>
    <w:p w14:paraId="295F64FB">
      <w:pPr>
        <w:pStyle w:val="40"/>
        <w:ind w:firstLine="640"/>
        <w:jc w:val="center"/>
      </w:pPr>
      <w:r>
        <w:br w:type="page"/>
      </w:r>
    </w:p>
    <w:sdt>
      <w:sdtPr>
        <w:rPr>
          <w:lang w:val="zh-CN"/>
        </w:rPr>
        <w:id w:val="-2108964446"/>
        <w:docPartObj>
          <w:docPartGallery w:val="Table of Contents"/>
          <w:docPartUnique/>
        </w:docPartObj>
      </w:sdtPr>
      <w:sdtEndPr>
        <w:rPr>
          <w:b/>
          <w:bCs/>
          <w:lang w:val="zh-CN"/>
        </w:rPr>
      </w:sdtEndPr>
      <w:sdtContent>
        <w:p w14:paraId="0449A151">
          <w:pPr>
            <w:widowControl/>
            <w:spacing w:line="240" w:lineRule="auto"/>
            <w:ind w:firstLine="0" w:firstLineChars="0"/>
            <w:jc w:val="center"/>
            <w:rPr>
              <w:rFonts w:ascii="Calibri Light" w:hAnsi="Calibri Light" w:eastAsia="方正小标宋简体" w:cs="宋体"/>
              <w:sz w:val="36"/>
              <w:szCs w:val="20"/>
            </w:rPr>
          </w:pPr>
          <w:r>
            <w:rPr>
              <w:rFonts w:ascii="Calibri Light" w:hAnsi="Calibri Light" w:eastAsia="方正小标宋简体" w:cs="宋体"/>
              <w:sz w:val="36"/>
              <w:szCs w:val="20"/>
            </w:rPr>
            <w:t>目录</w:t>
          </w:r>
        </w:p>
        <w:p w14:paraId="02D8F283">
          <w:pPr>
            <w:pStyle w:val="10"/>
            <w:tabs>
              <w:tab w:val="left" w:pos="1680"/>
              <w:tab w:val="right" w:leader="dot" w:pos="8296"/>
            </w:tabs>
            <w:rPr>
              <w:rFonts w:asciiTheme="minorHAnsi" w:hAnsiTheme="minorHAnsi" w:eastAsiaTheme="minorEastAsia" w:cstheme="minorBidi"/>
              <w:bCs w:val="0"/>
              <w:caps w:val="0"/>
              <w:sz w:val="21"/>
              <w:szCs w:val="22"/>
            </w:rPr>
          </w:pPr>
          <w:r>
            <w:fldChar w:fldCharType="begin"/>
          </w:r>
          <w:r>
            <w:instrText xml:space="preserve"> TOC \o "1-3" \h \z \u </w:instrText>
          </w:r>
          <w:r>
            <w:fldChar w:fldCharType="separate"/>
          </w:r>
          <w:r>
            <w:fldChar w:fldCharType="begin"/>
          </w:r>
          <w:r>
            <w:instrText xml:space="preserve"> HYPERLINK \l "_Toc240028027" </w:instrText>
          </w:r>
          <w:r>
            <w:fldChar w:fldCharType="separate"/>
          </w:r>
          <w:r>
            <w:rPr>
              <w:rStyle w:val="16"/>
              <w:rFonts w:hint="eastAsia" w:ascii="Calibri Light" w:hAnsi="Calibri Light" w:eastAsia="方正小标宋简体" w:cs="宋体"/>
            </w:rPr>
            <w:t>第一章</w:t>
          </w:r>
          <w:r>
            <w:rPr>
              <w:rFonts w:asciiTheme="minorHAnsi" w:hAnsiTheme="minorHAnsi" w:eastAsiaTheme="minorEastAsia" w:cstheme="minorBidi"/>
              <w:bCs w:val="0"/>
              <w:caps w:val="0"/>
              <w:sz w:val="21"/>
              <w:szCs w:val="22"/>
            </w:rPr>
            <w:tab/>
          </w:r>
          <w:r>
            <w:rPr>
              <w:rStyle w:val="16"/>
              <w:rFonts w:hint="eastAsia" w:ascii="Calibri Light" w:hAnsi="Calibri Light" w:eastAsia="方正小标宋简体" w:cs="宋体"/>
            </w:rPr>
            <w:t>总则</w:t>
          </w:r>
          <w:r>
            <w:tab/>
          </w:r>
          <w:r>
            <w:fldChar w:fldCharType="begin"/>
          </w:r>
          <w:r>
            <w:instrText xml:space="preserve"> PAGEREF _Toc240028027 \h </w:instrText>
          </w:r>
          <w:r>
            <w:fldChar w:fldCharType="separate"/>
          </w:r>
          <w:r>
            <w:t>1</w:t>
          </w:r>
          <w:r>
            <w:fldChar w:fldCharType="end"/>
          </w:r>
          <w:r>
            <w:fldChar w:fldCharType="end"/>
          </w:r>
        </w:p>
        <w:p w14:paraId="524A4FBF">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"_Toc240028028" </w:instrText>
          </w:r>
          <w:r>
            <w:fldChar w:fldCharType="separate"/>
          </w:r>
          <w:r>
            <w:rPr>
              <w:rStyle w:val="16"/>
              <w:rFonts w:hint="eastAsia" w:ascii="方正小标宋_GBK" w:hAnsi="方正小标宋_GBK" w:eastAsia="方正小标宋_GBK" w:cs="黑体"/>
            </w:rPr>
            <w:t>第二章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规划基础</w:t>
          </w:r>
          <w:r>
            <w:tab/>
          </w:r>
          <w:r>
            <w:fldChar w:fldCharType="begin"/>
          </w:r>
          <w:r>
            <w:instrText xml:space="preserve"> PAGEREF _Toc240028028 \h </w:instrText>
          </w:r>
          <w:r>
            <w:fldChar w:fldCharType="separate"/>
          </w:r>
          <w:r>
            <w:t>4</w:t>
          </w:r>
          <w:r>
            <w:fldChar w:fldCharType="end"/>
          </w:r>
          <w:r>
            <w:fldChar w:fldCharType="end"/>
          </w:r>
        </w:p>
        <w:p w14:paraId="7BBD7277">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"_Toc240028029" </w:instrText>
          </w:r>
          <w:r>
            <w:fldChar w:fldCharType="separate"/>
          </w:r>
          <w:r>
            <w:rPr>
              <w:rStyle w:val="16"/>
              <w:rFonts w:hint="eastAsia" w:cs="黑体"/>
            </w:rPr>
            <w:t>第一节</w:t>
          </w:r>
          <w:r>
            <w:rPr>
              <w:rStyle w:val="16"/>
            </w:rPr>
            <w:t xml:space="preserve"> </w:t>
          </w:r>
          <w:r>
            <w:rPr>
              <w:rStyle w:val="16"/>
              <w:rFonts w:hint="eastAsia" w:cs="黑体"/>
            </w:rPr>
            <w:t>现状特征与主要问题</w:t>
          </w:r>
          <w:r>
            <w:tab/>
          </w:r>
          <w:r>
            <w:fldChar w:fldCharType="begin"/>
          </w:r>
          <w:r>
            <w:instrText xml:space="preserve"> PAGEREF _Toc240028029 \h </w:instrText>
          </w:r>
          <w:r>
            <w:fldChar w:fldCharType="separate"/>
          </w:r>
          <w:r>
            <w:t>4</w:t>
          </w:r>
          <w:r>
            <w:fldChar w:fldCharType="end"/>
          </w:r>
          <w:r>
            <w:fldChar w:fldCharType="end"/>
          </w:r>
        </w:p>
        <w:p w14:paraId="0011A29F">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"_Toc240028030" </w:instrText>
          </w:r>
          <w:r>
            <w:fldChar w:fldCharType="separate"/>
          </w:r>
          <w:r>
            <w:rPr>
              <w:rStyle w:val="16"/>
              <w:rFonts w:hint="eastAsia" w:cs="黑体"/>
            </w:rPr>
            <w:t>第二节</w:t>
          </w:r>
          <w:r>
            <w:rPr>
              <w:rStyle w:val="16"/>
            </w:rPr>
            <w:t xml:space="preserve"> </w:t>
          </w:r>
          <w:r>
            <w:rPr>
              <w:rStyle w:val="16"/>
              <w:rFonts w:hint="eastAsia" w:cs="黑体"/>
            </w:rPr>
            <w:t>机遇与挑战</w:t>
          </w:r>
          <w:r>
            <w:tab/>
          </w:r>
          <w:r>
            <w:fldChar w:fldCharType="begin"/>
          </w:r>
          <w:r>
            <w:instrText xml:space="preserve"> PAGEREF _Toc240028030 \h </w:instrText>
          </w:r>
          <w:r>
            <w:fldChar w:fldCharType="separate"/>
          </w:r>
          <w:r>
            <w:t>5</w:t>
          </w:r>
          <w:r>
            <w:fldChar w:fldCharType="end"/>
          </w:r>
          <w:r>
            <w:fldChar w:fldCharType="end"/>
          </w:r>
        </w:p>
        <w:p w14:paraId="583054E9">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"_Toc240028031" </w:instrText>
          </w:r>
          <w:r>
            <w:fldChar w:fldCharType="separate"/>
          </w:r>
          <w:r>
            <w:rPr>
              <w:rStyle w:val="16"/>
              <w:rFonts w:hint="eastAsia" w:ascii="方正小标宋_GBK" w:hAnsi="方正小标宋_GBK" w:eastAsia="方正小标宋_GBK" w:cs="黑体"/>
            </w:rPr>
            <w:t>第三章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目标定位与空间策略</w:t>
          </w:r>
          <w:r>
            <w:tab/>
          </w:r>
          <w:r>
            <w:fldChar w:fldCharType="begin"/>
          </w:r>
          <w:r>
            <w:instrText xml:space="preserve"> PAGEREF _Toc240028031 \h </w:instrText>
          </w:r>
          <w:r>
            <w:fldChar w:fldCharType="separate"/>
          </w:r>
          <w:r>
            <w:t>7</w:t>
          </w:r>
          <w:r>
            <w:fldChar w:fldCharType="end"/>
          </w:r>
          <w:r>
            <w:fldChar w:fldCharType="end"/>
          </w:r>
        </w:p>
        <w:p w14:paraId="67D4E416">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"_Toc240028032" </w:instrText>
          </w:r>
          <w:r>
            <w:fldChar w:fldCharType="separate"/>
          </w:r>
          <w:r>
            <w:rPr>
              <w:rStyle w:val="16"/>
              <w:rFonts w:hint="eastAsia" w:cs="黑体"/>
            </w:rPr>
            <w:t>第一节</w:t>
          </w:r>
          <w:r>
            <w:rPr>
              <w:rStyle w:val="16"/>
            </w:rPr>
            <w:t xml:space="preserve"> </w:t>
          </w:r>
          <w:r>
            <w:rPr>
              <w:rStyle w:val="16"/>
              <w:rFonts w:hint="eastAsia" w:cs="黑体"/>
            </w:rPr>
            <w:t>规划定位</w:t>
          </w:r>
          <w:r>
            <w:tab/>
          </w:r>
          <w:r>
            <w:fldChar w:fldCharType="begin"/>
          </w:r>
          <w:r>
            <w:instrText xml:space="preserve"> PAGEREF _Toc240028032 \h </w:instrText>
          </w:r>
          <w:r>
            <w:fldChar w:fldCharType="separate"/>
          </w:r>
          <w:r>
            <w:t>7</w:t>
          </w:r>
          <w:r>
            <w:fldChar w:fldCharType="end"/>
          </w:r>
          <w:r>
            <w:fldChar w:fldCharType="end"/>
          </w:r>
        </w:p>
        <w:p w14:paraId="337042D3">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"_Toc240028033" </w:instrText>
          </w:r>
          <w:r>
            <w:fldChar w:fldCharType="separate"/>
          </w:r>
          <w:r>
            <w:rPr>
              <w:rStyle w:val="16"/>
              <w:rFonts w:hint="eastAsia" w:cs="黑体"/>
            </w:rPr>
            <w:t>第二节</w:t>
          </w:r>
          <w:r>
            <w:rPr>
              <w:rStyle w:val="16"/>
            </w:rPr>
            <w:t xml:space="preserve"> </w:t>
          </w:r>
          <w:r>
            <w:rPr>
              <w:rStyle w:val="16"/>
              <w:rFonts w:hint="eastAsia" w:cs="黑体"/>
            </w:rPr>
            <w:t>规划目标与策略</w:t>
          </w:r>
          <w:r>
            <w:tab/>
          </w:r>
          <w:r>
            <w:fldChar w:fldCharType="begin"/>
          </w:r>
          <w:r>
            <w:instrText xml:space="preserve"> PAGEREF _Toc240028033 \h </w:instrText>
          </w:r>
          <w:r>
            <w:fldChar w:fldCharType="separate"/>
          </w:r>
          <w:r>
            <w:t>7</w:t>
          </w:r>
          <w:r>
            <w:fldChar w:fldCharType="end"/>
          </w:r>
          <w:r>
            <w:fldChar w:fldCharType="end"/>
          </w:r>
        </w:p>
        <w:p w14:paraId="45011844">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"_Toc240028034" </w:instrText>
          </w:r>
          <w:r>
            <w:fldChar w:fldCharType="separate"/>
          </w:r>
          <w:r>
            <w:rPr>
              <w:rStyle w:val="16"/>
              <w:rFonts w:hint="eastAsia" w:cs="黑体"/>
            </w:rPr>
            <w:t>第三节</w:t>
          </w:r>
          <w:r>
            <w:rPr>
              <w:rStyle w:val="16"/>
            </w:rPr>
            <w:t xml:space="preserve"> </w:t>
          </w:r>
          <w:r>
            <w:rPr>
              <w:rStyle w:val="16"/>
              <w:rFonts w:hint="eastAsia" w:cs="黑体"/>
            </w:rPr>
            <w:t>指标体系与上位规划落实</w:t>
          </w:r>
          <w:r>
            <w:tab/>
          </w:r>
          <w:r>
            <w:fldChar w:fldCharType="begin"/>
          </w:r>
          <w:r>
            <w:instrText xml:space="preserve"> PAGEREF _Toc240028034 \h </w:instrText>
          </w:r>
          <w:r>
            <w:fldChar w:fldCharType="separate"/>
          </w:r>
          <w:r>
            <w:t>9</w:t>
          </w:r>
          <w:r>
            <w:fldChar w:fldCharType="end"/>
          </w:r>
          <w:r>
            <w:fldChar w:fldCharType="end"/>
          </w:r>
        </w:p>
        <w:p w14:paraId="6F4FCA15">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"_Toc240028035" </w:instrText>
          </w:r>
          <w:r>
            <w:fldChar w:fldCharType="separate"/>
          </w:r>
          <w:r>
            <w:rPr>
              <w:rStyle w:val="16"/>
              <w:rFonts w:hint="eastAsia" w:ascii="方正小标宋_GBK" w:hAnsi="方正小标宋_GBK" w:eastAsia="方正小标宋_GBK" w:cs="黑体"/>
            </w:rPr>
            <w:t>第四章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国土空间格局</w:t>
          </w:r>
          <w:r>
            <w:tab/>
          </w:r>
          <w:r>
            <w:fldChar w:fldCharType="begin"/>
          </w:r>
          <w:r>
            <w:instrText xml:space="preserve"> PAGEREF _Toc240028035 \h </w:instrText>
          </w:r>
          <w:r>
            <w:fldChar w:fldCharType="separate"/>
          </w:r>
          <w:r>
            <w:t>10</w:t>
          </w:r>
          <w:r>
            <w:fldChar w:fldCharType="end"/>
          </w:r>
          <w:r>
            <w:fldChar w:fldCharType="end"/>
          </w:r>
        </w:p>
        <w:p w14:paraId="6D9501CF">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"_Toc240028036" </w:instrText>
          </w:r>
          <w:r>
            <w:fldChar w:fldCharType="separate"/>
          </w:r>
          <w:r>
            <w:rPr>
              <w:rStyle w:val="16"/>
              <w:rFonts w:hint="eastAsia" w:cs="黑体"/>
            </w:rPr>
            <w:t>第一节</w:t>
          </w:r>
          <w:r>
            <w:rPr>
              <w:rStyle w:val="16"/>
            </w:rPr>
            <w:t xml:space="preserve"> </w:t>
          </w:r>
          <w:r>
            <w:rPr>
              <w:rStyle w:val="16"/>
              <w:rFonts w:hint="eastAsia" w:cs="黑体"/>
            </w:rPr>
            <w:t>落实三条控制线</w:t>
          </w:r>
          <w:r>
            <w:tab/>
          </w:r>
          <w:r>
            <w:fldChar w:fldCharType="begin"/>
          </w:r>
          <w:r>
            <w:instrText xml:space="preserve"> PAGEREF _Toc240028036 \h </w:instrText>
          </w:r>
          <w:r>
            <w:fldChar w:fldCharType="separate"/>
          </w:r>
          <w:r>
            <w:t>10</w:t>
          </w:r>
          <w:r>
            <w:fldChar w:fldCharType="end"/>
          </w:r>
          <w:r>
            <w:fldChar w:fldCharType="end"/>
          </w:r>
        </w:p>
        <w:p w14:paraId="7E830DD0">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"_Toc240028037" </w:instrText>
          </w:r>
          <w:r>
            <w:fldChar w:fldCharType="separate"/>
          </w:r>
          <w:r>
            <w:rPr>
              <w:rStyle w:val="16"/>
              <w:rFonts w:hint="eastAsia" w:cs="黑体"/>
            </w:rPr>
            <w:t>第二节</w:t>
          </w:r>
          <w:r>
            <w:rPr>
              <w:rStyle w:val="16"/>
            </w:rPr>
            <w:t xml:space="preserve"> </w:t>
          </w:r>
          <w:r>
            <w:rPr>
              <w:rStyle w:val="16"/>
              <w:rFonts w:hint="eastAsia" w:cs="黑体"/>
            </w:rPr>
            <w:t>落实主体功能区</w:t>
          </w:r>
          <w:r>
            <w:tab/>
          </w:r>
          <w:r>
            <w:fldChar w:fldCharType="begin"/>
          </w:r>
          <w:r>
            <w:instrText xml:space="preserve"> PAGEREF _Toc240028037 \h </w:instrText>
          </w:r>
          <w:r>
            <w:fldChar w:fldCharType="separate"/>
          </w:r>
          <w:r>
            <w:t>13</w:t>
          </w:r>
          <w:r>
            <w:fldChar w:fldCharType="end"/>
          </w:r>
          <w:r>
            <w:fldChar w:fldCharType="end"/>
          </w:r>
        </w:p>
        <w:p w14:paraId="39E0510B">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"_Toc240028038" </w:instrText>
          </w:r>
          <w:r>
            <w:fldChar w:fldCharType="separate"/>
          </w:r>
          <w:r>
            <w:rPr>
              <w:rStyle w:val="16"/>
              <w:rFonts w:hint="eastAsia" w:cs="黑体"/>
            </w:rPr>
            <w:t>第三节</w:t>
          </w:r>
          <w:r>
            <w:rPr>
              <w:rStyle w:val="16"/>
            </w:rPr>
            <w:t xml:space="preserve"> </w:t>
          </w:r>
          <w:r>
            <w:rPr>
              <w:rStyle w:val="16"/>
              <w:rFonts w:hint="eastAsia" w:cs="黑体"/>
            </w:rPr>
            <w:t>区域协调发展</w:t>
          </w:r>
          <w:r>
            <w:tab/>
          </w:r>
          <w:r>
            <w:fldChar w:fldCharType="begin"/>
          </w:r>
          <w:r>
            <w:instrText xml:space="preserve"> PAGEREF _Toc240028038 \h </w:instrText>
          </w:r>
          <w:r>
            <w:fldChar w:fldCharType="separate"/>
          </w:r>
          <w:r>
            <w:t>13</w:t>
          </w:r>
          <w:r>
            <w:fldChar w:fldCharType="end"/>
          </w:r>
          <w:r>
            <w:fldChar w:fldCharType="end"/>
          </w:r>
        </w:p>
        <w:p w14:paraId="7B4C2824">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"_Toc240028039" </w:instrText>
          </w:r>
          <w:r>
            <w:fldChar w:fldCharType="separate"/>
          </w:r>
          <w:r>
            <w:rPr>
              <w:rStyle w:val="16"/>
              <w:rFonts w:hint="eastAsia" w:cs="黑体"/>
            </w:rPr>
            <w:t>第四节</w:t>
          </w:r>
          <w:r>
            <w:rPr>
              <w:rStyle w:val="16"/>
            </w:rPr>
            <w:t xml:space="preserve"> </w:t>
          </w:r>
          <w:r>
            <w:rPr>
              <w:rStyle w:val="16"/>
              <w:rFonts w:hint="eastAsia" w:cs="黑体"/>
            </w:rPr>
            <w:t>总体空间格局</w:t>
          </w:r>
          <w:r>
            <w:tab/>
          </w:r>
          <w:r>
            <w:fldChar w:fldCharType="begin"/>
          </w:r>
          <w:r>
            <w:instrText xml:space="preserve"> PAGEREF _Toc240028039 \h </w:instrText>
          </w:r>
          <w:r>
            <w:fldChar w:fldCharType="separate"/>
          </w:r>
          <w:r>
            <w:t>14</w:t>
          </w:r>
          <w:r>
            <w:fldChar w:fldCharType="end"/>
          </w:r>
          <w:r>
            <w:fldChar w:fldCharType="end"/>
          </w:r>
        </w:p>
        <w:p w14:paraId="4B486918">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"_Toc240028040" </w:instrText>
          </w:r>
          <w:r>
            <w:fldChar w:fldCharType="separate"/>
          </w:r>
          <w:r>
            <w:rPr>
              <w:rStyle w:val="16"/>
              <w:rFonts w:hint="eastAsia" w:cs="黑体"/>
            </w:rPr>
            <w:t>第五节</w:t>
          </w:r>
          <w:r>
            <w:rPr>
              <w:rStyle w:val="16"/>
            </w:rPr>
            <w:t xml:space="preserve"> </w:t>
          </w:r>
          <w:r>
            <w:rPr>
              <w:rStyle w:val="16"/>
              <w:rFonts w:hint="eastAsia" w:cs="黑体"/>
            </w:rPr>
            <w:t>规划分区</w:t>
          </w:r>
          <w:r>
            <w:tab/>
          </w:r>
          <w:r>
            <w:fldChar w:fldCharType="begin"/>
          </w:r>
          <w:r>
            <w:instrText xml:space="preserve"> PAGEREF _Toc240028040 \h </w:instrText>
          </w:r>
          <w:r>
            <w:fldChar w:fldCharType="separate"/>
          </w:r>
          <w:r>
            <w:t>14</w:t>
          </w:r>
          <w:r>
            <w:fldChar w:fldCharType="end"/>
          </w:r>
          <w:r>
            <w:fldChar w:fldCharType="end"/>
          </w:r>
        </w:p>
        <w:p w14:paraId="770BEAEF">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"_Toc240028041" </w:instrText>
          </w:r>
          <w:r>
            <w:fldChar w:fldCharType="separate"/>
          </w:r>
          <w:r>
            <w:rPr>
              <w:rStyle w:val="16"/>
              <w:rFonts w:hint="eastAsia" w:cs="黑体"/>
            </w:rPr>
            <w:t>第六节</w:t>
          </w:r>
          <w:r>
            <w:rPr>
              <w:rStyle w:val="16"/>
            </w:rPr>
            <w:t xml:space="preserve"> </w:t>
          </w:r>
          <w:r>
            <w:rPr>
              <w:rStyle w:val="16"/>
              <w:rFonts w:hint="eastAsia" w:cs="黑体"/>
            </w:rPr>
            <w:t>用地用途和结构调整</w:t>
          </w:r>
          <w:r>
            <w:tab/>
          </w:r>
          <w:r>
            <w:fldChar w:fldCharType="begin"/>
          </w:r>
          <w:r>
            <w:instrText xml:space="preserve"> PAGEREF _Toc240028041 \h </w:instrText>
          </w:r>
          <w:r>
            <w:fldChar w:fldCharType="separate"/>
          </w:r>
          <w:r>
            <w:t>18</w:t>
          </w:r>
          <w:r>
            <w:fldChar w:fldCharType="end"/>
          </w:r>
          <w:r>
            <w:fldChar w:fldCharType="end"/>
          </w:r>
        </w:p>
        <w:p w14:paraId="4FE30D22">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"_Toc240028042" </w:instrText>
          </w:r>
          <w:r>
            <w:fldChar w:fldCharType="separate"/>
          </w:r>
          <w:r>
            <w:rPr>
              <w:rStyle w:val="16"/>
              <w:rFonts w:hint="eastAsia" w:ascii="方正小标宋_GBK" w:hAnsi="方正小标宋_GBK" w:eastAsia="方正小标宋_GBK" w:cs="黑体"/>
            </w:rPr>
            <w:t>第五章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空间布局优化</w:t>
          </w:r>
          <w:r>
            <w:tab/>
          </w:r>
          <w:r>
            <w:fldChar w:fldCharType="begin"/>
          </w:r>
          <w:r>
            <w:instrText xml:space="preserve"> PAGEREF _Toc240028042 \h </w:instrText>
          </w:r>
          <w:r>
            <w:fldChar w:fldCharType="separate"/>
          </w:r>
          <w:r>
            <w:t>19</w:t>
          </w:r>
          <w:r>
            <w:fldChar w:fldCharType="end"/>
          </w:r>
          <w:r>
            <w:fldChar w:fldCharType="end"/>
          </w:r>
        </w:p>
        <w:p w14:paraId="0E4306BC">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"_Toc240028043" </w:instrText>
          </w:r>
          <w:r>
            <w:fldChar w:fldCharType="separate"/>
          </w:r>
          <w:r>
            <w:rPr>
              <w:rStyle w:val="16"/>
              <w:rFonts w:hint="eastAsia" w:cs="黑体"/>
            </w:rPr>
            <w:t>第一节</w:t>
          </w:r>
          <w:r>
            <w:rPr>
              <w:rStyle w:val="16"/>
            </w:rPr>
            <w:t xml:space="preserve"> </w:t>
          </w:r>
          <w:r>
            <w:rPr>
              <w:rStyle w:val="16"/>
              <w:rFonts w:hint="eastAsia" w:cs="黑体"/>
            </w:rPr>
            <w:t>农业生产空间</w:t>
          </w:r>
          <w:r>
            <w:tab/>
          </w:r>
          <w:r>
            <w:fldChar w:fldCharType="begin"/>
          </w:r>
          <w:r>
            <w:instrText xml:space="preserve"> PAGEREF _Toc240028043 \h </w:instrText>
          </w:r>
          <w:r>
            <w:fldChar w:fldCharType="separate"/>
          </w:r>
          <w:r>
            <w:t>19</w:t>
          </w:r>
          <w:r>
            <w:fldChar w:fldCharType="end"/>
          </w:r>
          <w:r>
            <w:fldChar w:fldCharType="end"/>
          </w:r>
        </w:p>
        <w:p w14:paraId="78D061CC">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"_Toc240028044" </w:instrText>
          </w:r>
          <w:r>
            <w:fldChar w:fldCharType="separate"/>
          </w:r>
          <w:r>
            <w:rPr>
              <w:rStyle w:val="16"/>
              <w:rFonts w:hint="eastAsia" w:cs="黑体"/>
            </w:rPr>
            <w:t>第二节</w:t>
          </w:r>
          <w:r>
            <w:rPr>
              <w:rStyle w:val="16"/>
            </w:rPr>
            <w:t xml:space="preserve"> </w:t>
          </w:r>
          <w:r>
            <w:rPr>
              <w:rStyle w:val="16"/>
              <w:rFonts w:hint="eastAsia" w:cs="黑体"/>
            </w:rPr>
            <w:t>生态功能空间</w:t>
          </w:r>
          <w:r>
            <w:tab/>
          </w:r>
          <w:r>
            <w:fldChar w:fldCharType="begin"/>
          </w:r>
          <w:r>
            <w:instrText xml:space="preserve"> PAGEREF _Toc240028044 \h </w:instrText>
          </w:r>
          <w:r>
            <w:fldChar w:fldCharType="separate"/>
          </w:r>
          <w:r>
            <w:t>22</w:t>
          </w:r>
          <w:r>
            <w:fldChar w:fldCharType="end"/>
          </w:r>
          <w:r>
            <w:fldChar w:fldCharType="end"/>
          </w:r>
        </w:p>
        <w:p w14:paraId="6EB72ADB">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"_Toc240028045" </w:instrText>
          </w:r>
          <w:r>
            <w:fldChar w:fldCharType="separate"/>
          </w:r>
          <w:r>
            <w:rPr>
              <w:rStyle w:val="16"/>
              <w:rFonts w:hint="eastAsia"/>
            </w:rPr>
            <w:t>第三节</w:t>
          </w:r>
          <w:r>
            <w:rPr>
              <w:rStyle w:val="16"/>
              <w:rFonts w:hint="eastAsia" w:cs="黑体"/>
            </w:rPr>
            <w:t xml:space="preserve"> 建设空间</w:t>
          </w:r>
          <w:r>
            <w:tab/>
          </w:r>
          <w:r>
            <w:fldChar w:fldCharType="begin"/>
          </w:r>
          <w:r>
            <w:instrText xml:space="preserve"> PAGEREF _Toc240028045 \h </w:instrText>
          </w:r>
          <w:r>
            <w:fldChar w:fldCharType="separate"/>
          </w:r>
          <w:r>
            <w:t>25</w:t>
          </w:r>
          <w:r>
            <w:fldChar w:fldCharType="end"/>
          </w:r>
          <w:r>
            <w:fldChar w:fldCharType="end"/>
          </w:r>
        </w:p>
        <w:p w14:paraId="669E0F78">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"_Toc240028046" </w:instrText>
          </w:r>
          <w:r>
            <w:fldChar w:fldCharType="separate"/>
          </w:r>
          <w:r>
            <w:rPr>
              <w:rStyle w:val="16"/>
              <w:rFonts w:hint="eastAsia" w:ascii="方正小标宋_GBK" w:hAnsi="方正小标宋_GBK" w:eastAsia="方正小标宋_GBK" w:cs="黑体"/>
            </w:rPr>
            <w:t>第六章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乡政府驻地规划</w:t>
          </w:r>
          <w:r>
            <w:tab/>
          </w:r>
          <w:r>
            <w:fldChar w:fldCharType="begin"/>
          </w:r>
          <w:r>
            <w:instrText xml:space="preserve"> PAGEREF _Toc240028046 \h </w:instrText>
          </w:r>
          <w:r>
            <w:fldChar w:fldCharType="separate"/>
          </w:r>
          <w:r>
            <w:t>27</w:t>
          </w:r>
          <w:r>
            <w:fldChar w:fldCharType="end"/>
          </w:r>
          <w:r>
            <w:fldChar w:fldCharType="end"/>
          </w:r>
        </w:p>
        <w:p w14:paraId="619C1BC6">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"_Toc240028047" </w:instrText>
          </w:r>
          <w:r>
            <w:fldChar w:fldCharType="separate"/>
          </w:r>
          <w:r>
            <w:rPr>
              <w:rStyle w:val="16"/>
              <w:rFonts w:hint="eastAsia" w:cs="黑体"/>
            </w:rPr>
            <w:t>第一节</w:t>
          </w:r>
          <w:r>
            <w:rPr>
              <w:rStyle w:val="16"/>
            </w:rPr>
            <w:t xml:space="preserve"> </w:t>
          </w:r>
          <w:r>
            <w:rPr>
              <w:rStyle w:val="16"/>
              <w:rFonts w:hint="eastAsia" w:cs="黑体"/>
            </w:rPr>
            <w:t>发展方向与规模</w:t>
          </w:r>
          <w:r>
            <w:tab/>
          </w:r>
          <w:r>
            <w:fldChar w:fldCharType="begin"/>
          </w:r>
          <w:r>
            <w:instrText xml:space="preserve"> PAGEREF _Toc240028047 \h </w:instrText>
          </w:r>
          <w:r>
            <w:fldChar w:fldCharType="separate"/>
          </w:r>
          <w:r>
            <w:t>27</w:t>
          </w:r>
          <w:r>
            <w:fldChar w:fldCharType="end"/>
          </w:r>
          <w:r>
            <w:fldChar w:fldCharType="end"/>
          </w:r>
        </w:p>
        <w:p w14:paraId="0D31063F">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"_Toc240028048" </w:instrText>
          </w:r>
          <w:r>
            <w:fldChar w:fldCharType="separate"/>
          </w:r>
          <w:r>
            <w:rPr>
              <w:rStyle w:val="16"/>
              <w:rFonts w:hint="eastAsia" w:cs="黑体"/>
            </w:rPr>
            <w:t>第二节</w:t>
          </w:r>
          <w:r>
            <w:rPr>
              <w:rStyle w:val="16"/>
              <w:rFonts w:cs="黑体"/>
            </w:rPr>
            <w:t xml:space="preserve"> </w:t>
          </w:r>
          <w:r>
            <w:rPr>
              <w:rStyle w:val="16"/>
              <w:rFonts w:hint="eastAsia" w:cs="黑体"/>
            </w:rPr>
            <w:t>用地结构与布局</w:t>
          </w:r>
          <w:r>
            <w:tab/>
          </w:r>
          <w:r>
            <w:fldChar w:fldCharType="begin"/>
          </w:r>
          <w:r>
            <w:instrText xml:space="preserve"> PAGEREF _Toc240028048 \h </w:instrText>
          </w:r>
          <w:r>
            <w:fldChar w:fldCharType="separate"/>
          </w:r>
          <w:r>
            <w:t>27</w:t>
          </w:r>
          <w:r>
            <w:fldChar w:fldCharType="end"/>
          </w:r>
          <w:r>
            <w:fldChar w:fldCharType="end"/>
          </w:r>
        </w:p>
        <w:p w14:paraId="32C40DA3">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"_Toc240028049" </w:instrText>
          </w:r>
          <w:r>
            <w:fldChar w:fldCharType="separate"/>
          </w:r>
          <w:r>
            <w:rPr>
              <w:rStyle w:val="16"/>
              <w:rFonts w:hint="eastAsia" w:cs="黑体"/>
            </w:rPr>
            <w:t>第三节</w:t>
          </w:r>
          <w:r>
            <w:rPr>
              <w:rStyle w:val="16"/>
              <w:rFonts w:cs="黑体"/>
            </w:rPr>
            <w:t xml:space="preserve"> </w:t>
          </w:r>
          <w:r>
            <w:rPr>
              <w:rStyle w:val="16"/>
              <w:rFonts w:hint="eastAsia" w:cs="黑体"/>
            </w:rPr>
            <w:t>完善住房保障</w:t>
          </w:r>
          <w:r>
            <w:tab/>
          </w:r>
          <w:r>
            <w:fldChar w:fldCharType="begin"/>
          </w:r>
          <w:r>
            <w:instrText xml:space="preserve"> PAGEREF _Toc240028049 \h </w:instrText>
          </w:r>
          <w:r>
            <w:fldChar w:fldCharType="separate"/>
          </w:r>
          <w:r>
            <w:t>28</w:t>
          </w:r>
          <w:r>
            <w:fldChar w:fldCharType="end"/>
          </w:r>
          <w:r>
            <w:fldChar w:fldCharType="end"/>
          </w:r>
        </w:p>
        <w:p w14:paraId="5E15F07C">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"_Toc240028050" </w:instrText>
          </w:r>
          <w:r>
            <w:fldChar w:fldCharType="separate"/>
          </w:r>
          <w:r>
            <w:rPr>
              <w:rStyle w:val="16"/>
              <w:rFonts w:hint="eastAsia" w:cs="黑体"/>
            </w:rPr>
            <w:t>第四节</w:t>
          </w:r>
          <w:r>
            <w:rPr>
              <w:rStyle w:val="16"/>
              <w:rFonts w:cs="黑体"/>
            </w:rPr>
            <w:t xml:space="preserve"> </w:t>
          </w:r>
          <w:r>
            <w:rPr>
              <w:rStyle w:val="16"/>
              <w:rFonts w:hint="eastAsia" w:cs="黑体"/>
            </w:rPr>
            <w:t>保障公共服务设施建设</w:t>
          </w:r>
          <w:r>
            <w:tab/>
          </w:r>
          <w:r>
            <w:fldChar w:fldCharType="begin"/>
          </w:r>
          <w:r>
            <w:instrText xml:space="preserve"> PAGEREF _Toc240028050 \h </w:instrText>
          </w:r>
          <w:r>
            <w:fldChar w:fldCharType="separate"/>
          </w:r>
          <w:r>
            <w:t>28</w:t>
          </w:r>
          <w:r>
            <w:fldChar w:fldCharType="end"/>
          </w:r>
          <w:r>
            <w:fldChar w:fldCharType="end"/>
          </w:r>
        </w:p>
        <w:p w14:paraId="6FCA4AD9">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"_Toc240028051" </w:instrText>
          </w:r>
          <w:r>
            <w:fldChar w:fldCharType="separate"/>
          </w:r>
          <w:r>
            <w:rPr>
              <w:rStyle w:val="16"/>
              <w:rFonts w:hint="eastAsia" w:cs="黑体"/>
            </w:rPr>
            <w:t>第五节</w:t>
          </w:r>
          <w:r>
            <w:rPr>
              <w:rStyle w:val="16"/>
            </w:rPr>
            <w:t xml:space="preserve"> </w:t>
          </w:r>
          <w:r>
            <w:rPr>
              <w:rStyle w:val="16"/>
              <w:rFonts w:hint="eastAsia" w:cs="黑体"/>
            </w:rPr>
            <w:t>绿地与开敞空间</w:t>
          </w:r>
          <w:r>
            <w:tab/>
          </w:r>
          <w:r>
            <w:fldChar w:fldCharType="begin"/>
          </w:r>
          <w:r>
            <w:instrText xml:space="preserve"> PAGEREF _Toc240028051 \h </w:instrText>
          </w:r>
          <w:r>
            <w:fldChar w:fldCharType="separate"/>
          </w:r>
          <w:r>
            <w:t>29</w:t>
          </w:r>
          <w:r>
            <w:fldChar w:fldCharType="end"/>
          </w:r>
          <w:r>
            <w:fldChar w:fldCharType="end"/>
          </w:r>
        </w:p>
        <w:p w14:paraId="6ECDCF4C">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"_Toc240028052" </w:instrText>
          </w:r>
          <w:r>
            <w:fldChar w:fldCharType="separate"/>
          </w:r>
          <w:r>
            <w:rPr>
              <w:rStyle w:val="16"/>
              <w:rFonts w:hint="eastAsia" w:cs="黑体"/>
            </w:rPr>
            <w:t>第六节</w:t>
          </w:r>
          <w:r>
            <w:rPr>
              <w:rStyle w:val="16"/>
            </w:rPr>
            <w:t xml:space="preserve"> </w:t>
          </w:r>
          <w:r>
            <w:rPr>
              <w:rStyle w:val="16"/>
              <w:rFonts w:hint="eastAsia" w:cs="黑体"/>
            </w:rPr>
            <w:t>道路交通</w:t>
          </w:r>
          <w:r>
            <w:tab/>
          </w:r>
          <w:r>
            <w:fldChar w:fldCharType="begin"/>
          </w:r>
          <w:r>
            <w:instrText xml:space="preserve"> PAGEREF _Toc240028052 \h </w:instrText>
          </w:r>
          <w:r>
            <w:fldChar w:fldCharType="separate"/>
          </w:r>
          <w:r>
            <w:t>29</w:t>
          </w:r>
          <w:r>
            <w:fldChar w:fldCharType="end"/>
          </w:r>
          <w:r>
            <w:fldChar w:fldCharType="end"/>
          </w:r>
        </w:p>
        <w:p w14:paraId="1E18B5E7">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"_Toc240028053" </w:instrText>
          </w:r>
          <w:r>
            <w:fldChar w:fldCharType="separate"/>
          </w:r>
          <w:r>
            <w:rPr>
              <w:rStyle w:val="16"/>
              <w:rFonts w:hint="eastAsia" w:cs="黑体"/>
            </w:rPr>
            <w:t>第七节</w:t>
          </w:r>
          <w:r>
            <w:rPr>
              <w:rStyle w:val="16"/>
            </w:rPr>
            <w:t xml:space="preserve"> </w:t>
          </w:r>
          <w:r>
            <w:rPr>
              <w:rStyle w:val="16"/>
              <w:rFonts w:hint="eastAsia" w:cs="黑体"/>
            </w:rPr>
            <w:t>“四线”管控与战略留白</w:t>
          </w:r>
          <w:r>
            <w:tab/>
          </w:r>
          <w:r>
            <w:fldChar w:fldCharType="begin"/>
          </w:r>
          <w:r>
            <w:instrText xml:space="preserve"> PAGEREF _Toc240028053 \h </w:instrText>
          </w:r>
          <w:r>
            <w:fldChar w:fldCharType="separate"/>
          </w:r>
          <w:r>
            <w:t>30</w:t>
          </w:r>
          <w:r>
            <w:fldChar w:fldCharType="end"/>
          </w:r>
          <w:r>
            <w:fldChar w:fldCharType="end"/>
          </w:r>
        </w:p>
        <w:p w14:paraId="09915767">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"_Toc240028054" </w:instrText>
          </w:r>
          <w:r>
            <w:fldChar w:fldCharType="separate"/>
          </w:r>
          <w:r>
            <w:rPr>
              <w:rStyle w:val="16"/>
              <w:rFonts w:hint="eastAsia" w:ascii="方正小标宋_GBK" w:hAnsi="方正小标宋_GBK" w:eastAsia="方正小标宋_GBK" w:cs="黑体"/>
            </w:rPr>
            <w:t>第七章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基础保障体系</w:t>
          </w:r>
          <w:r>
            <w:tab/>
          </w:r>
          <w:r>
            <w:fldChar w:fldCharType="begin"/>
          </w:r>
          <w:r>
            <w:instrText xml:space="preserve"> PAGEREF _Toc240028054 \h </w:instrText>
          </w:r>
          <w:r>
            <w:fldChar w:fldCharType="separate"/>
          </w:r>
          <w:r>
            <w:t>32</w:t>
          </w:r>
          <w:r>
            <w:fldChar w:fldCharType="end"/>
          </w:r>
          <w:r>
            <w:fldChar w:fldCharType="end"/>
          </w:r>
        </w:p>
        <w:p w14:paraId="7090D79A">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"_Toc240028055" </w:instrText>
          </w:r>
          <w:r>
            <w:fldChar w:fldCharType="separate"/>
          </w:r>
          <w:r>
            <w:rPr>
              <w:rStyle w:val="16"/>
              <w:rFonts w:hint="eastAsia" w:cs="黑体"/>
            </w:rPr>
            <w:t>第一节</w:t>
          </w:r>
          <w:r>
            <w:rPr>
              <w:rStyle w:val="16"/>
            </w:rPr>
            <w:t xml:space="preserve"> </w:t>
          </w:r>
          <w:r>
            <w:rPr>
              <w:rStyle w:val="16"/>
              <w:rFonts w:hint="eastAsia" w:cs="黑体"/>
            </w:rPr>
            <w:t>综合交通</w:t>
          </w:r>
          <w:r>
            <w:tab/>
          </w:r>
          <w:r>
            <w:fldChar w:fldCharType="begin"/>
          </w:r>
          <w:r>
            <w:instrText xml:space="preserve"> PAGEREF _Toc240028055 \h </w:instrText>
          </w:r>
          <w:r>
            <w:fldChar w:fldCharType="separate"/>
          </w:r>
          <w:r>
            <w:t>32</w:t>
          </w:r>
          <w:r>
            <w:fldChar w:fldCharType="end"/>
          </w:r>
          <w:r>
            <w:fldChar w:fldCharType="end"/>
          </w:r>
        </w:p>
        <w:p w14:paraId="521AB27B">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"_Toc240028056" </w:instrText>
          </w:r>
          <w:r>
            <w:fldChar w:fldCharType="separate"/>
          </w:r>
          <w:r>
            <w:rPr>
              <w:rStyle w:val="16"/>
              <w:rFonts w:hint="eastAsia" w:cs="黑体"/>
            </w:rPr>
            <w:t>第二节</w:t>
          </w:r>
          <w:r>
            <w:rPr>
              <w:rStyle w:val="16"/>
            </w:rPr>
            <w:t xml:space="preserve"> </w:t>
          </w:r>
          <w:r>
            <w:rPr>
              <w:rStyle w:val="16"/>
              <w:rFonts w:hint="eastAsia" w:cs="黑体"/>
            </w:rPr>
            <w:t>公共服务设施</w:t>
          </w:r>
          <w:r>
            <w:tab/>
          </w:r>
          <w:r>
            <w:fldChar w:fldCharType="begin"/>
          </w:r>
          <w:r>
            <w:instrText xml:space="preserve"> PAGEREF _Toc240028056 \h </w:instrText>
          </w:r>
          <w:r>
            <w:fldChar w:fldCharType="separate"/>
          </w:r>
          <w:r>
            <w:t>33</w:t>
          </w:r>
          <w:r>
            <w:fldChar w:fldCharType="end"/>
          </w:r>
          <w:r>
            <w:fldChar w:fldCharType="end"/>
          </w:r>
        </w:p>
        <w:p w14:paraId="48E098B7">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"_Toc240028057" </w:instrText>
          </w:r>
          <w:r>
            <w:fldChar w:fldCharType="separate"/>
          </w:r>
          <w:r>
            <w:rPr>
              <w:rStyle w:val="16"/>
              <w:rFonts w:hint="eastAsia" w:ascii="方正小标宋_GBK" w:hAnsi="方正小标宋_GBK" w:eastAsia="方正小标宋_GBK" w:cs="黑体"/>
            </w:rPr>
            <w:t>第八章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历史文化与地方特色风貌</w:t>
          </w:r>
          <w:r>
            <w:tab/>
          </w:r>
          <w:r>
            <w:fldChar w:fldCharType="begin"/>
          </w:r>
          <w:r>
            <w:instrText xml:space="preserve"> PAGEREF _Toc240028057 \h </w:instrText>
          </w:r>
          <w:r>
            <w:fldChar w:fldCharType="separate"/>
          </w:r>
          <w:r>
            <w:t>36</w:t>
          </w:r>
          <w:r>
            <w:fldChar w:fldCharType="end"/>
          </w:r>
          <w:r>
            <w:fldChar w:fldCharType="end"/>
          </w:r>
        </w:p>
        <w:p w14:paraId="04C5D92A">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"_Toc240028058" </w:instrText>
          </w:r>
          <w:r>
            <w:fldChar w:fldCharType="separate"/>
          </w:r>
          <w:r>
            <w:rPr>
              <w:rStyle w:val="16"/>
              <w:rFonts w:hint="eastAsia" w:cs="黑体"/>
            </w:rPr>
            <w:t>第一节</w:t>
          </w:r>
          <w:r>
            <w:rPr>
              <w:rStyle w:val="16"/>
            </w:rPr>
            <w:t xml:space="preserve"> </w:t>
          </w:r>
          <w:r>
            <w:rPr>
              <w:rStyle w:val="16"/>
              <w:rFonts w:hint="eastAsia" w:cs="黑体"/>
            </w:rPr>
            <w:t>历史文化保护</w:t>
          </w:r>
          <w:r>
            <w:tab/>
          </w:r>
          <w:r>
            <w:fldChar w:fldCharType="begin"/>
          </w:r>
          <w:r>
            <w:instrText xml:space="preserve"> PAGEREF _Toc240028058 \h </w:instrText>
          </w:r>
          <w:r>
            <w:fldChar w:fldCharType="separate"/>
          </w:r>
          <w:r>
            <w:t>36</w:t>
          </w:r>
          <w:r>
            <w:fldChar w:fldCharType="end"/>
          </w:r>
          <w:r>
            <w:fldChar w:fldCharType="end"/>
          </w:r>
        </w:p>
        <w:p w14:paraId="5E53668D">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"_Toc240028059" </w:instrText>
          </w:r>
          <w:r>
            <w:fldChar w:fldCharType="separate"/>
          </w:r>
          <w:r>
            <w:rPr>
              <w:rStyle w:val="16"/>
              <w:rFonts w:hint="eastAsia" w:cs="黑体"/>
            </w:rPr>
            <w:t>第二节</w:t>
          </w:r>
          <w:r>
            <w:rPr>
              <w:rStyle w:val="16"/>
            </w:rPr>
            <w:t xml:space="preserve"> </w:t>
          </w:r>
          <w:r>
            <w:rPr>
              <w:rStyle w:val="16"/>
              <w:rFonts w:hint="eastAsia" w:cs="黑体"/>
            </w:rPr>
            <w:t>风貌引导</w:t>
          </w:r>
          <w:r>
            <w:tab/>
          </w:r>
          <w:r>
            <w:fldChar w:fldCharType="begin"/>
          </w:r>
          <w:r>
            <w:instrText xml:space="preserve"> PAGEREF _Toc240028059 \h </w:instrText>
          </w:r>
          <w:r>
            <w:fldChar w:fldCharType="separate"/>
          </w:r>
          <w:r>
            <w:t>36</w:t>
          </w:r>
          <w:r>
            <w:fldChar w:fldCharType="end"/>
          </w:r>
          <w:r>
            <w:fldChar w:fldCharType="end"/>
          </w:r>
        </w:p>
        <w:p w14:paraId="087B20FC">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"_Toc240028060" </w:instrText>
          </w:r>
          <w:r>
            <w:fldChar w:fldCharType="separate"/>
          </w:r>
          <w:r>
            <w:rPr>
              <w:rStyle w:val="16"/>
              <w:rFonts w:hint="eastAsia" w:ascii="方正小标宋_GBK" w:hAnsi="方正小标宋_GBK" w:eastAsia="方正小标宋_GBK" w:cs="黑体"/>
            </w:rPr>
            <w:t>第九章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生态修复与国土综合整治</w:t>
          </w:r>
          <w:r>
            <w:tab/>
          </w:r>
          <w:r>
            <w:fldChar w:fldCharType="begin"/>
          </w:r>
          <w:r>
            <w:instrText xml:space="preserve"> PAGEREF _Toc240028060 \h </w:instrText>
          </w:r>
          <w:r>
            <w:fldChar w:fldCharType="separate"/>
          </w:r>
          <w:r>
            <w:t>38</w:t>
          </w:r>
          <w:r>
            <w:fldChar w:fldCharType="end"/>
          </w:r>
          <w:r>
            <w:fldChar w:fldCharType="end"/>
          </w:r>
        </w:p>
        <w:p w14:paraId="49B7E19C">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"_Toc240028061" </w:instrText>
          </w:r>
          <w:r>
            <w:fldChar w:fldCharType="separate"/>
          </w:r>
          <w:r>
            <w:rPr>
              <w:rStyle w:val="16"/>
              <w:rFonts w:hint="eastAsia" w:cs="黑体"/>
            </w:rPr>
            <w:t>第一节</w:t>
          </w:r>
          <w:r>
            <w:rPr>
              <w:rStyle w:val="16"/>
            </w:rPr>
            <w:t xml:space="preserve"> </w:t>
          </w:r>
          <w:r>
            <w:rPr>
              <w:rStyle w:val="16"/>
              <w:rFonts w:hint="eastAsia" w:cs="黑体"/>
            </w:rPr>
            <w:t>生态修复</w:t>
          </w:r>
          <w:r>
            <w:tab/>
          </w:r>
          <w:r>
            <w:fldChar w:fldCharType="begin"/>
          </w:r>
          <w:r>
            <w:instrText xml:space="preserve"> PAGEREF _Toc240028061 \h </w:instrText>
          </w:r>
          <w:r>
            <w:fldChar w:fldCharType="separate"/>
          </w:r>
          <w:r>
            <w:t>38</w:t>
          </w:r>
          <w:r>
            <w:fldChar w:fldCharType="end"/>
          </w:r>
          <w:r>
            <w:fldChar w:fldCharType="end"/>
          </w:r>
        </w:p>
        <w:p w14:paraId="0DBB31B0">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"_Toc240028062" </w:instrText>
          </w:r>
          <w:r>
            <w:fldChar w:fldCharType="separate"/>
          </w:r>
          <w:r>
            <w:rPr>
              <w:rStyle w:val="16"/>
              <w:rFonts w:hint="eastAsia" w:cs="黑体"/>
            </w:rPr>
            <w:t>第二节</w:t>
          </w:r>
          <w:r>
            <w:rPr>
              <w:rStyle w:val="16"/>
            </w:rPr>
            <w:t xml:space="preserve"> </w:t>
          </w:r>
          <w:r>
            <w:rPr>
              <w:rStyle w:val="16"/>
              <w:rFonts w:hint="eastAsia" w:cs="黑体"/>
            </w:rPr>
            <w:t>国土综合整治</w:t>
          </w:r>
          <w:r>
            <w:tab/>
          </w:r>
          <w:r>
            <w:fldChar w:fldCharType="begin"/>
          </w:r>
          <w:r>
            <w:instrText xml:space="preserve"> PAGEREF _Toc240028062 \h </w:instrText>
          </w:r>
          <w:r>
            <w:fldChar w:fldCharType="separate"/>
          </w:r>
          <w:r>
            <w:t>38</w:t>
          </w:r>
          <w:r>
            <w:fldChar w:fldCharType="end"/>
          </w:r>
          <w:r>
            <w:fldChar w:fldCharType="end"/>
          </w:r>
        </w:p>
        <w:p w14:paraId="333085CB">
          <w:pPr>
            <w:pStyle w:val="10"/>
            <w:tabs>
              <w:tab w:val="right" w:leader="dot" w:pos="8296"/>
            </w:tabs>
            <w:rPr>
              <w:rFonts w:asciiTheme="minorHAnsi" w:hAnsiTheme="minorHAnsi" w:eastAsiaTheme="minorEastAsia" w:cstheme="minorBidi"/>
              <w:bCs w:val="0"/>
              <w:caps w:val="0"/>
              <w:sz w:val="21"/>
              <w:szCs w:val="22"/>
            </w:rPr>
          </w:pPr>
          <w:r>
            <w:fldChar w:fldCharType="begin"/>
          </w:r>
          <w:r>
            <w:instrText xml:space="preserve"> HYPERLINK \l "_Toc240028063" </w:instrText>
          </w:r>
          <w:r>
            <w:fldChar w:fldCharType="separate"/>
          </w:r>
          <w:r>
            <w:rPr>
              <w:rStyle w:val="16"/>
              <w:rFonts w:hint="eastAsia" w:ascii="方正小标宋_GBK" w:hAnsi="方正小标宋_GBK" w:eastAsia="方正小标宋_GBK" w:cs="黑体"/>
            </w:rPr>
            <w:t>第十章</w:t>
          </w:r>
          <w:r>
            <w:rPr>
              <w:rStyle w:val="16"/>
              <w:rFonts w:ascii="方正小标宋_GBK" w:hAnsi="方正小标宋_GBK" w:eastAsia="方正小标宋_GBK" w:cs="黑体"/>
            </w:rPr>
            <w:t xml:space="preserve"> </w:t>
          </w:r>
          <w:r>
            <w:rPr>
              <w:rStyle w:val="16"/>
              <w:rFonts w:hint="eastAsia" w:ascii="方正小标宋_GBK" w:hAnsi="方正小标宋_GBK" w:eastAsia="方正小标宋_GBK" w:cs="黑体"/>
            </w:rPr>
            <w:t>规划传导与实施</w:t>
          </w:r>
          <w:r>
            <w:tab/>
          </w:r>
          <w:r>
            <w:fldChar w:fldCharType="begin"/>
          </w:r>
          <w:r>
            <w:instrText xml:space="preserve"> PAGEREF _Toc240028063 \h </w:instrText>
          </w:r>
          <w:r>
            <w:fldChar w:fldCharType="separate"/>
          </w:r>
          <w:r>
            <w:t>41</w:t>
          </w:r>
          <w:r>
            <w:fldChar w:fldCharType="end"/>
          </w:r>
          <w:r>
            <w:fldChar w:fldCharType="end"/>
          </w:r>
        </w:p>
        <w:p w14:paraId="5B6E350B">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"_Toc240028064" </w:instrText>
          </w:r>
          <w:r>
            <w:fldChar w:fldCharType="separate"/>
          </w:r>
          <w:r>
            <w:rPr>
              <w:rStyle w:val="16"/>
              <w:rFonts w:hint="eastAsia" w:cs="黑体"/>
            </w:rPr>
            <w:t>第一节</w:t>
          </w:r>
          <w:r>
            <w:rPr>
              <w:rStyle w:val="16"/>
            </w:rPr>
            <w:t xml:space="preserve"> </w:t>
          </w:r>
          <w:r>
            <w:rPr>
              <w:rStyle w:val="16"/>
              <w:rFonts w:hint="eastAsia" w:cs="黑体"/>
            </w:rPr>
            <w:t>规划传导与管控</w:t>
          </w:r>
          <w:r>
            <w:tab/>
          </w:r>
          <w:r>
            <w:fldChar w:fldCharType="begin"/>
          </w:r>
          <w:r>
            <w:instrText xml:space="preserve"> PAGEREF _Toc240028064 \h </w:instrText>
          </w:r>
          <w:r>
            <w:fldChar w:fldCharType="separate"/>
          </w:r>
          <w:r>
            <w:t>41</w:t>
          </w:r>
          <w:r>
            <w:fldChar w:fldCharType="end"/>
          </w:r>
          <w:r>
            <w:fldChar w:fldCharType="end"/>
          </w:r>
        </w:p>
        <w:p w14:paraId="6A2EAFDE">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"_Toc240028065" </w:instrText>
          </w:r>
          <w:r>
            <w:fldChar w:fldCharType="separate"/>
          </w:r>
          <w:r>
            <w:rPr>
              <w:rStyle w:val="16"/>
              <w:rFonts w:hint="eastAsia" w:cs="黑体"/>
            </w:rPr>
            <w:t>第二节</w:t>
          </w:r>
          <w:r>
            <w:rPr>
              <w:rStyle w:val="16"/>
            </w:rPr>
            <w:t xml:space="preserve"> </w:t>
          </w:r>
          <w:r>
            <w:rPr>
              <w:rStyle w:val="16"/>
              <w:rFonts w:hint="eastAsia" w:cs="黑体"/>
            </w:rPr>
            <w:t>规划实施</w:t>
          </w:r>
          <w:r>
            <w:tab/>
          </w:r>
          <w:r>
            <w:fldChar w:fldCharType="begin"/>
          </w:r>
          <w:r>
            <w:instrText xml:space="preserve"> PAGEREF _Toc240028065 \h </w:instrText>
          </w:r>
          <w:r>
            <w:fldChar w:fldCharType="separate"/>
          </w:r>
          <w:r>
            <w:t>43</w:t>
          </w:r>
          <w:r>
            <w:fldChar w:fldCharType="end"/>
          </w:r>
          <w:r>
            <w:fldChar w:fldCharType="end"/>
          </w:r>
        </w:p>
        <w:p w14:paraId="23FC30B3">
          <w:pPr>
            <w:pStyle w:val="11"/>
            <w:tabs>
              <w:tab w:val="right" w:leader="dot" w:pos="8296"/>
            </w:tabs>
            <w:ind w:left="640"/>
            <w:rPr>
              <w:rFonts w:asciiTheme="minorHAnsi" w:hAnsiTheme="minorHAnsi" w:eastAsiaTheme="minorEastAsia"/>
              <w:sz w:val="21"/>
              <w:szCs w:val="22"/>
            </w:rPr>
          </w:pPr>
          <w:r>
            <w:fldChar w:fldCharType="begin"/>
          </w:r>
          <w:r>
            <w:instrText xml:space="preserve"> HYPERLINK \l "_Toc240028066" </w:instrText>
          </w:r>
          <w:r>
            <w:fldChar w:fldCharType="separate"/>
          </w:r>
          <w:r>
            <w:rPr>
              <w:rStyle w:val="16"/>
              <w:rFonts w:hint="eastAsia" w:cs="黑体"/>
            </w:rPr>
            <w:t>第三节</w:t>
          </w:r>
          <w:r>
            <w:rPr>
              <w:rStyle w:val="16"/>
            </w:rPr>
            <w:t xml:space="preserve"> </w:t>
          </w:r>
          <w:r>
            <w:rPr>
              <w:rStyle w:val="16"/>
              <w:rFonts w:hint="eastAsia" w:cs="黑体"/>
            </w:rPr>
            <w:t>实施保障</w:t>
          </w:r>
          <w:r>
            <w:tab/>
          </w:r>
          <w:r>
            <w:fldChar w:fldCharType="begin"/>
          </w:r>
          <w:r>
            <w:instrText xml:space="preserve"> PAGEREF _Toc240028066 \h </w:instrText>
          </w:r>
          <w:r>
            <w:fldChar w:fldCharType="separate"/>
          </w:r>
          <w:r>
            <w:t>43</w:t>
          </w:r>
          <w:r>
            <w:fldChar w:fldCharType="end"/>
          </w:r>
          <w:r>
            <w:fldChar w:fldCharType="end"/>
          </w:r>
        </w:p>
        <w:p w14:paraId="1CED3D1C">
          <w:pPr>
            <w:ind w:firstLine="640"/>
          </w:pPr>
          <w:r>
            <w:fldChar w:fldCharType="end"/>
          </w:r>
        </w:p>
      </w:sdtContent>
    </w:sdt>
    <w:p w14:paraId="25D99915">
      <w:pPr>
        <w:widowControl/>
        <w:spacing w:line="240" w:lineRule="auto"/>
        <w:ind w:firstLine="0" w:firstLineChars="0"/>
        <w:jc w:val="left"/>
      </w:pPr>
    </w:p>
    <w:p w14:paraId="54E2063F">
      <w:pPr>
        <w:widowControl/>
        <w:spacing w:line="240" w:lineRule="auto"/>
        <w:ind w:firstLine="0" w:firstLineChars="0"/>
        <w:jc w:val="left"/>
      </w:pPr>
    </w:p>
    <w:p w14:paraId="4E66A04D">
      <w:pPr>
        <w:widowControl/>
        <w:spacing w:line="240" w:lineRule="auto"/>
        <w:ind w:firstLine="0" w:firstLineChars="0"/>
        <w:jc w:val="left"/>
      </w:pPr>
    </w:p>
    <w:p w14:paraId="369D94AE">
      <w:pPr>
        <w:widowControl/>
        <w:spacing w:line="240" w:lineRule="auto"/>
        <w:ind w:firstLine="0" w:firstLineChars="0"/>
        <w:jc w:val="left"/>
      </w:pPr>
    </w:p>
    <w:p w14:paraId="4EC4A979">
      <w:pPr>
        <w:widowControl/>
        <w:spacing w:line="240" w:lineRule="auto"/>
        <w:ind w:firstLine="0" w:firstLineChars="0"/>
        <w:jc w:val="left"/>
      </w:pPr>
    </w:p>
    <w:p w14:paraId="79F34D62">
      <w:pPr>
        <w:widowControl/>
        <w:spacing w:line="240" w:lineRule="auto"/>
        <w:ind w:firstLine="0" w:firstLineChars="0"/>
        <w:jc w:val="left"/>
      </w:pPr>
    </w:p>
    <w:p w14:paraId="5F8269DC">
      <w:pPr>
        <w:widowControl/>
        <w:spacing w:line="240" w:lineRule="auto"/>
        <w:ind w:firstLine="0" w:firstLineChars="0"/>
        <w:jc w:val="left"/>
      </w:pPr>
    </w:p>
    <w:p w14:paraId="0A59B1AC">
      <w:pPr>
        <w:widowControl/>
        <w:spacing w:line="240" w:lineRule="auto"/>
        <w:ind w:firstLine="0" w:firstLineChars="0"/>
        <w:jc w:val="left"/>
      </w:pPr>
    </w:p>
    <w:p w14:paraId="3F6FAC40">
      <w:pPr>
        <w:widowControl/>
        <w:spacing w:line="240" w:lineRule="auto"/>
        <w:ind w:firstLine="0" w:firstLineChars="0"/>
        <w:jc w:val="left"/>
      </w:pPr>
    </w:p>
    <w:p w14:paraId="2EE94CB6">
      <w:pPr>
        <w:widowControl/>
        <w:spacing w:line="240" w:lineRule="auto"/>
        <w:ind w:firstLine="0" w:firstLineChars="0"/>
        <w:jc w:val="left"/>
      </w:pPr>
    </w:p>
    <w:p w14:paraId="48BE458C">
      <w:pPr>
        <w:widowControl/>
        <w:spacing w:line="240" w:lineRule="auto"/>
        <w:ind w:firstLine="0" w:firstLineChars="0"/>
        <w:jc w:val="left"/>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53B72408">
      <w:pPr>
        <w:widowControl/>
        <w:spacing w:line="240" w:lineRule="auto"/>
        <w:ind w:firstLine="0" w:firstLineChars="0"/>
        <w:jc w:val="left"/>
        <w:sectPr>
          <w:headerReference r:id="rId11" w:type="default"/>
          <w:type w:val="continuous"/>
          <w:pgSz w:w="11906" w:h="16838"/>
          <w:pgMar w:top="1440" w:right="1800" w:bottom="1440" w:left="1800" w:header="851" w:footer="992" w:gutter="0"/>
          <w:cols w:space="425" w:num="1"/>
          <w:docGrid w:type="lines" w:linePitch="312" w:charSpace="0"/>
        </w:sectPr>
      </w:pPr>
    </w:p>
    <w:p w14:paraId="208E1426">
      <w:pPr>
        <w:widowControl/>
        <w:spacing w:line="240" w:lineRule="auto"/>
        <w:ind w:firstLine="0" w:firstLineChars="0"/>
        <w:jc w:val="left"/>
      </w:pPr>
    </w:p>
    <w:p w14:paraId="3D544AE8">
      <w:pPr>
        <w:widowControl/>
        <w:spacing w:line="240" w:lineRule="auto"/>
        <w:ind w:firstLine="0" w:firstLineChars="0"/>
        <w:jc w:val="left"/>
      </w:pPr>
    </w:p>
    <w:p w14:paraId="1DEA7B87">
      <w:pPr>
        <w:widowControl/>
        <w:spacing w:line="240" w:lineRule="auto"/>
        <w:ind w:firstLine="0" w:firstLineChars="0"/>
        <w:jc w:val="left"/>
      </w:pPr>
    </w:p>
    <w:p w14:paraId="3B60B580">
      <w:pPr>
        <w:widowControl/>
        <w:spacing w:line="240" w:lineRule="auto"/>
        <w:ind w:firstLine="0" w:firstLineChars="0"/>
        <w:jc w:val="left"/>
      </w:pPr>
    </w:p>
    <w:p w14:paraId="10F72BA2">
      <w:pPr>
        <w:widowControl/>
        <w:spacing w:line="240" w:lineRule="auto"/>
        <w:ind w:firstLine="0" w:firstLineChars="0"/>
        <w:jc w:val="left"/>
      </w:pPr>
    </w:p>
    <w:p w14:paraId="32A54FD9">
      <w:pPr>
        <w:widowControl/>
        <w:spacing w:line="240" w:lineRule="auto"/>
        <w:ind w:firstLine="0" w:firstLineChars="0"/>
        <w:jc w:val="left"/>
      </w:pPr>
    </w:p>
    <w:p w14:paraId="2F24B193">
      <w:pPr>
        <w:widowControl/>
        <w:spacing w:line="240" w:lineRule="auto"/>
        <w:ind w:firstLine="0" w:firstLineChars="0"/>
        <w:jc w:val="left"/>
        <w:rPr>
          <w:rFonts w:hint="eastAsia"/>
        </w:rPr>
        <w:sectPr>
          <w:footerReference r:id="rId12" w:type="default"/>
          <w:type w:val="continuous"/>
          <w:pgSz w:w="11906" w:h="16838"/>
          <w:pgMar w:top="1440" w:right="1800" w:bottom="1440" w:left="1800" w:header="851" w:footer="992" w:gutter="0"/>
          <w:pgNumType w:start="1"/>
          <w:cols w:space="425" w:num="1"/>
          <w:docGrid w:type="lines" w:linePitch="312" w:charSpace="0"/>
        </w:sectPr>
      </w:pPr>
    </w:p>
    <w:p w14:paraId="58CC906B">
      <w:pPr>
        <w:keepNext/>
        <w:numPr>
          <w:ilvl w:val="0"/>
          <w:numId w:val="1"/>
        </w:numPr>
        <w:spacing w:before="156" w:beforeLines="50" w:after="156" w:afterLines="50"/>
        <w:ind w:firstLineChars="0"/>
        <w:jc w:val="center"/>
        <w:outlineLvl w:val="0"/>
        <w:rPr>
          <w:rFonts w:ascii="Calibri Light" w:hAnsi="Calibri Light" w:eastAsia="方正小标宋简体" w:cs="宋体"/>
          <w:sz w:val="36"/>
          <w:szCs w:val="20"/>
        </w:rPr>
      </w:pPr>
      <w:bookmarkStart w:id="3" w:name="_Toc14806"/>
      <w:bookmarkStart w:id="4" w:name="_Toc21698777"/>
      <w:bookmarkStart w:id="5" w:name="_Toc21608750"/>
      <w:bookmarkStart w:id="6" w:name="_Toc15738"/>
      <w:bookmarkStart w:id="7" w:name="_Toc21609574"/>
      <w:bookmarkStart w:id="8" w:name="_Toc72501757"/>
      <w:bookmarkStart w:id="9" w:name="_Toc525758061"/>
      <w:bookmarkStart w:id="10" w:name="_Toc11925"/>
      <w:r>
        <w:rPr>
          <w:rFonts w:hint="eastAsia" w:ascii="Calibri Light" w:hAnsi="Calibri Light" w:eastAsia="方正小标宋简体" w:cs="宋体"/>
          <w:sz w:val="36"/>
          <w:szCs w:val="20"/>
        </w:rPr>
        <w:t xml:space="preserve"> </w:t>
      </w:r>
      <w:bookmarkStart w:id="11" w:name="_Toc240028027"/>
      <w:r>
        <w:rPr>
          <w:rFonts w:ascii="Calibri Light" w:hAnsi="Calibri Light" w:eastAsia="方正小标宋简体" w:cs="宋体"/>
          <w:sz w:val="36"/>
          <w:szCs w:val="20"/>
        </w:rPr>
        <w:t>总则</w:t>
      </w:r>
      <w:bookmarkEnd w:id="3"/>
      <w:bookmarkEnd w:id="4"/>
      <w:bookmarkEnd w:id="5"/>
      <w:bookmarkEnd w:id="6"/>
      <w:bookmarkEnd w:id="7"/>
      <w:bookmarkEnd w:id="8"/>
      <w:bookmarkEnd w:id="9"/>
      <w:bookmarkEnd w:id="10"/>
      <w:bookmarkEnd w:id="11"/>
    </w:p>
    <w:p w14:paraId="2CF0814F">
      <w:pPr>
        <w:pStyle w:val="25"/>
        <w:widowControl/>
        <w:numPr>
          <w:ilvl w:val="0"/>
          <w:numId w:val="2"/>
        </w:numPr>
        <w:spacing w:before="312" w:beforeLines="100" w:after="156" w:afterLines="50"/>
        <w:ind w:firstLineChars="0"/>
        <w:rPr>
          <w:rFonts w:ascii="楷体" w:hAnsi="楷体" w:cs="黑体"/>
          <w:szCs w:val="32"/>
        </w:rPr>
      </w:pPr>
      <w:bookmarkStart w:id="12" w:name="_Toc181597597"/>
      <w:bookmarkStart w:id="13" w:name="_Toc25215"/>
      <w:bookmarkStart w:id="14" w:name="_Toc29158"/>
      <w:bookmarkStart w:id="15" w:name="_Toc2692"/>
      <w:r>
        <w:rPr>
          <w:rFonts w:hint="eastAsia" w:ascii="楷体" w:hAnsi="楷体" w:cs="黑体"/>
          <w:szCs w:val="32"/>
        </w:rPr>
        <w:t xml:space="preserve"> 规划目的</w:t>
      </w:r>
      <w:bookmarkEnd w:id="12"/>
      <w:bookmarkEnd w:id="13"/>
      <w:bookmarkEnd w:id="14"/>
      <w:bookmarkEnd w:id="15"/>
    </w:p>
    <w:p w14:paraId="5BF3245E">
      <w:pPr>
        <w:pStyle w:val="19"/>
        <w:ind w:firstLine="640" w:firstLineChars="200"/>
      </w:pPr>
      <w:r>
        <w:rPr>
          <w:rFonts w:hint="eastAsia"/>
        </w:rPr>
        <w:t>为贯彻落实《中共中央国务院关于建立国土空间规划体系并监督实施的若干意见》（中发〔</w:t>
      </w:r>
      <w:r>
        <w:t>2019</w:t>
      </w:r>
      <w:r>
        <w:rPr>
          <w:rFonts w:hint="eastAsia"/>
        </w:rPr>
        <w:t>〕</w:t>
      </w:r>
      <w:r>
        <w:t>18</w:t>
      </w:r>
      <w:r>
        <w:rPr>
          <w:rFonts w:hint="eastAsia"/>
        </w:rPr>
        <w:t>号）、《自然资源部关于开展全国国土空间规划工作的通知》（自然资发〔</w:t>
      </w:r>
      <w:r>
        <w:t>2019</w:t>
      </w:r>
      <w:r>
        <w:rPr>
          <w:rFonts w:hint="eastAsia"/>
        </w:rPr>
        <w:t>〕</w:t>
      </w:r>
      <w:r>
        <w:t>87</w:t>
      </w:r>
      <w:r>
        <w:rPr>
          <w:rFonts w:hint="eastAsia"/>
        </w:rPr>
        <w:t>号）的要求，以及绥棱县委、县政府关于后头乡发展要求，根据有关法律法规和政策要求，结合后头乡实际，特编制《后头乡国土空间总体规划（2021—2035年）》（以下简称《规划》）。</w:t>
      </w:r>
    </w:p>
    <w:p w14:paraId="62C5C960">
      <w:pPr>
        <w:pStyle w:val="25"/>
        <w:widowControl/>
        <w:numPr>
          <w:ilvl w:val="0"/>
          <w:numId w:val="2"/>
        </w:numPr>
        <w:spacing w:before="312" w:beforeLines="100" w:after="156" w:afterLines="50"/>
        <w:ind w:firstLineChars="0"/>
        <w:rPr>
          <w:rFonts w:ascii="楷体" w:hAnsi="楷体" w:cs="黑体"/>
          <w:szCs w:val="32"/>
        </w:rPr>
      </w:pPr>
      <w:r>
        <w:rPr>
          <w:rFonts w:hint="eastAsia" w:ascii="楷体" w:hAnsi="楷体" w:cs="黑体"/>
          <w:szCs w:val="32"/>
        </w:rPr>
        <w:t xml:space="preserve">  </w:t>
      </w:r>
      <w:bookmarkStart w:id="16" w:name="_Toc13981"/>
      <w:bookmarkStart w:id="17" w:name="_Toc181597598"/>
      <w:bookmarkStart w:id="18" w:name="_Toc3528"/>
      <w:bookmarkStart w:id="19" w:name="_Toc18851"/>
      <w:r>
        <w:rPr>
          <w:rFonts w:hint="eastAsia" w:ascii="楷体" w:hAnsi="楷体" w:cs="黑体"/>
          <w:szCs w:val="32"/>
        </w:rPr>
        <w:t>规划定位</w:t>
      </w:r>
      <w:bookmarkEnd w:id="16"/>
      <w:bookmarkEnd w:id="17"/>
      <w:bookmarkEnd w:id="18"/>
      <w:bookmarkEnd w:id="19"/>
    </w:p>
    <w:p w14:paraId="3E147C0F">
      <w:pPr>
        <w:pStyle w:val="19"/>
        <w:ind w:firstLine="640" w:firstLineChars="200"/>
      </w:pPr>
      <w:r>
        <w:rPr>
          <w:rFonts w:hint="eastAsia"/>
        </w:rPr>
        <w:t>《规划》是落实新发展理念、实施高效能空间治理、促进高质量发展和高品质生活的空间政策，是后头乡国土空间保护、开发、利用、修复和指导各类建设的行动纲领。</w:t>
      </w:r>
    </w:p>
    <w:p w14:paraId="33F98AB8">
      <w:pPr>
        <w:pStyle w:val="19"/>
        <w:ind w:firstLine="640" w:firstLineChars="200"/>
      </w:pPr>
      <w:r>
        <w:rPr>
          <w:rFonts w:hint="eastAsia"/>
        </w:rPr>
        <w:t>《规划》是编制城镇开发边界内的详细规划和城镇开发边界外的村庄规划、实施国土空间用途管制的基本依据。</w:t>
      </w:r>
    </w:p>
    <w:p w14:paraId="584AF051">
      <w:pPr>
        <w:pStyle w:val="25"/>
        <w:widowControl/>
        <w:numPr>
          <w:ilvl w:val="0"/>
          <w:numId w:val="2"/>
        </w:numPr>
        <w:spacing w:before="312" w:beforeLines="100" w:after="156" w:afterLines="50"/>
        <w:ind w:firstLineChars="0"/>
        <w:rPr>
          <w:rFonts w:ascii="楷体" w:hAnsi="楷体" w:cs="黑体"/>
          <w:szCs w:val="32"/>
        </w:rPr>
      </w:pPr>
      <w:r>
        <w:rPr>
          <w:rFonts w:hint="eastAsia" w:ascii="楷体" w:hAnsi="楷体" w:cs="黑体"/>
          <w:szCs w:val="32"/>
        </w:rPr>
        <w:t xml:space="preserve">  </w:t>
      </w:r>
      <w:bookmarkStart w:id="20" w:name="_Toc181597599"/>
      <w:bookmarkStart w:id="21" w:name="_Toc27989"/>
      <w:bookmarkStart w:id="22" w:name="_Toc2549"/>
      <w:bookmarkStart w:id="23" w:name="_Toc31665"/>
      <w:r>
        <w:rPr>
          <w:rFonts w:hint="eastAsia" w:ascii="楷体" w:hAnsi="楷体" w:cs="黑体"/>
          <w:szCs w:val="32"/>
        </w:rPr>
        <w:t>指导思想</w:t>
      </w:r>
      <w:bookmarkEnd w:id="20"/>
      <w:bookmarkEnd w:id="21"/>
      <w:bookmarkEnd w:id="22"/>
      <w:bookmarkEnd w:id="23"/>
    </w:p>
    <w:p w14:paraId="147E975B">
      <w:pPr>
        <w:pStyle w:val="19"/>
        <w:ind w:firstLine="640"/>
      </w:pPr>
      <w:r>
        <w:rPr>
          <w:rFonts w:hint="eastAsia"/>
        </w:rPr>
        <w:t>深入贯彻党的二十大和二十届二中、三中全会精神，全面落实习近平总书记在深入推进东北振兴座谈会和考察黑龙江重要讲话精神，紧紧围绕统筹推进“五位一体”总体布局和协调推进“四个全面”战略布局，</w:t>
      </w:r>
      <w:r>
        <w:t>落实黑龙江省、</w:t>
      </w:r>
      <w:r>
        <w:rPr>
          <w:rFonts w:hint="eastAsia"/>
        </w:rPr>
        <w:t>绥化</w:t>
      </w:r>
      <w:r>
        <w:t>市重大决策部署，</w:t>
      </w:r>
      <w:r>
        <w:rPr>
          <w:rFonts w:hint="eastAsia"/>
        </w:rPr>
        <w:t>全面贯彻新发展理念，深入实施生态文明建设，坚持农业安全优先、生态保护优先，坚持以人民为中心，坚持一切从实际出发，推动高质量发展，打造高品质生活，实现高效能治理，系统性谋划</w:t>
      </w:r>
      <w:r>
        <w:rPr>
          <w:rFonts w:hint="eastAsia"/>
          <w:bCs/>
        </w:rPr>
        <w:t>后头乡</w:t>
      </w:r>
      <w:r>
        <w:rPr>
          <w:rFonts w:hint="eastAsia"/>
        </w:rPr>
        <w:t>国土空间开发保护新格局，开启</w:t>
      </w:r>
      <w:r>
        <w:rPr>
          <w:rFonts w:hint="eastAsia"/>
          <w:bCs/>
        </w:rPr>
        <w:t>后头乡村全面振兴</w:t>
      </w:r>
      <w:r>
        <w:rPr>
          <w:rFonts w:hint="eastAsia"/>
        </w:rPr>
        <w:t>全方位振兴新征程。</w:t>
      </w:r>
    </w:p>
    <w:p w14:paraId="18BB1E98">
      <w:pPr>
        <w:pStyle w:val="25"/>
        <w:widowControl/>
        <w:numPr>
          <w:ilvl w:val="0"/>
          <w:numId w:val="2"/>
        </w:numPr>
        <w:spacing w:before="312" w:beforeLines="100" w:after="156" w:afterLines="50"/>
        <w:ind w:firstLineChars="0"/>
        <w:rPr>
          <w:rFonts w:ascii="楷体" w:hAnsi="楷体" w:cs="黑体"/>
          <w:szCs w:val="32"/>
        </w:rPr>
      </w:pPr>
      <w:r>
        <w:rPr>
          <w:rFonts w:hint="eastAsia" w:ascii="楷体" w:hAnsi="楷体" w:cs="黑体"/>
          <w:szCs w:val="32"/>
        </w:rPr>
        <w:t xml:space="preserve">  </w:t>
      </w:r>
      <w:bookmarkStart w:id="24" w:name="_Toc11423"/>
      <w:bookmarkStart w:id="25" w:name="_Toc30437"/>
      <w:bookmarkStart w:id="26" w:name="_Toc181597600"/>
      <w:bookmarkStart w:id="27" w:name="_Toc1846"/>
      <w:r>
        <w:rPr>
          <w:rFonts w:hint="eastAsia" w:ascii="楷体" w:hAnsi="楷体" w:cs="黑体"/>
          <w:szCs w:val="32"/>
        </w:rPr>
        <w:t>规划原则</w:t>
      </w:r>
      <w:bookmarkEnd w:id="24"/>
      <w:bookmarkEnd w:id="25"/>
      <w:bookmarkEnd w:id="26"/>
      <w:bookmarkEnd w:id="27"/>
    </w:p>
    <w:p w14:paraId="5C36F87D">
      <w:pPr>
        <w:pStyle w:val="19"/>
        <w:ind w:firstLine="640"/>
      </w:pPr>
      <w:r>
        <w:rPr>
          <w:rStyle w:val="28"/>
          <w:rFonts w:hint="eastAsia"/>
        </w:rPr>
        <w:t>坚持节约集约、底线约束。</w:t>
      </w:r>
      <w:r>
        <w:rPr>
          <w:rFonts w:hint="eastAsia"/>
        </w:rPr>
        <w:t>严守粮食、生态、能源资源等安全底线，落实全面节约战略，严格实施资源总量和强度管控，促进发展方式由外延扩张向内涵提质转变。</w:t>
      </w:r>
    </w:p>
    <w:p w14:paraId="548985E1">
      <w:pPr>
        <w:pStyle w:val="19"/>
        <w:ind w:firstLine="640"/>
      </w:pPr>
      <w:r>
        <w:rPr>
          <w:rStyle w:val="28"/>
          <w:rFonts w:hint="eastAsia"/>
        </w:rPr>
        <w:t>坚持生态优先、绿色发展。</w:t>
      </w:r>
      <w:r>
        <w:rPr>
          <w:rFonts w:hint="eastAsia"/>
        </w:rPr>
        <w:t>落实山水林田湖草生命共同体系统观，推动形成绿色发展方式和生活方式。</w:t>
      </w:r>
    </w:p>
    <w:p w14:paraId="61C07A00">
      <w:pPr>
        <w:pStyle w:val="19"/>
        <w:ind w:firstLine="640"/>
      </w:pPr>
      <w:r>
        <w:rPr>
          <w:rStyle w:val="28"/>
          <w:rFonts w:hint="eastAsia"/>
        </w:rPr>
        <w:t>坚持以人为本、品质提升。</w:t>
      </w:r>
      <w:r>
        <w:rPr>
          <w:rFonts w:hint="eastAsia"/>
        </w:rPr>
        <w:t>以人民对美好生活的向往为目标，建设美丽国土，满足高品质生活。</w:t>
      </w:r>
    </w:p>
    <w:p w14:paraId="28ED68CB">
      <w:pPr>
        <w:pStyle w:val="19"/>
        <w:ind w:firstLine="640"/>
      </w:pPr>
      <w:r>
        <w:rPr>
          <w:rStyle w:val="28"/>
          <w:rFonts w:hint="eastAsia"/>
        </w:rPr>
        <w:t>坚持全乡管控，适度集约。</w:t>
      </w:r>
      <w:r>
        <w:rPr>
          <w:rFonts w:hint="eastAsia"/>
        </w:rPr>
        <w:t>强化自然资源统筹利用和用途管控，探索控制乡域建设用地增量，盘活存量的内涵式发展路径，提高土地利用效率。</w:t>
      </w:r>
    </w:p>
    <w:p w14:paraId="18F888B7">
      <w:pPr>
        <w:pStyle w:val="25"/>
        <w:widowControl/>
        <w:numPr>
          <w:ilvl w:val="0"/>
          <w:numId w:val="2"/>
        </w:numPr>
        <w:spacing w:before="312" w:beforeLines="100" w:after="156" w:afterLines="50"/>
        <w:ind w:firstLineChars="0"/>
        <w:rPr>
          <w:rFonts w:ascii="楷体" w:hAnsi="楷体" w:cs="黑体"/>
          <w:szCs w:val="32"/>
        </w:rPr>
      </w:pPr>
      <w:r>
        <w:rPr>
          <w:rFonts w:hint="eastAsia" w:ascii="楷体" w:hAnsi="楷体" w:cs="黑体"/>
          <w:szCs w:val="32"/>
        </w:rPr>
        <w:t xml:space="preserve">  </w:t>
      </w:r>
      <w:bookmarkStart w:id="28" w:name="_Toc27443"/>
      <w:bookmarkStart w:id="29" w:name="_Toc28191"/>
      <w:bookmarkStart w:id="30" w:name="_Toc181597603"/>
      <w:bookmarkStart w:id="31" w:name="_Toc23432"/>
      <w:r>
        <w:rPr>
          <w:rFonts w:hint="eastAsia" w:ascii="楷体" w:hAnsi="楷体" w:cs="黑体"/>
          <w:szCs w:val="32"/>
        </w:rPr>
        <w:t>规划期限</w:t>
      </w:r>
      <w:bookmarkEnd w:id="28"/>
      <w:bookmarkEnd w:id="29"/>
      <w:bookmarkEnd w:id="30"/>
      <w:bookmarkEnd w:id="31"/>
    </w:p>
    <w:p w14:paraId="7E358685">
      <w:pPr>
        <w:ind w:firstLine="640"/>
      </w:pPr>
      <w:r>
        <w:rPr>
          <w:rFonts w:hint="eastAsia"/>
        </w:rPr>
        <w:t>规划基期年为2020年，规划期限为2021—2035年，近期规划至2025年，远景展望至2050年。</w:t>
      </w:r>
    </w:p>
    <w:p w14:paraId="6E6B91F7">
      <w:pPr>
        <w:ind w:firstLine="640"/>
      </w:pPr>
      <w:r>
        <w:br w:type="page"/>
      </w:r>
    </w:p>
    <w:p w14:paraId="434C213D">
      <w:pPr>
        <w:ind w:firstLine="640"/>
      </w:pPr>
    </w:p>
    <w:p w14:paraId="07412A85">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32" w:name="_Toc240028028"/>
      <w:bookmarkStart w:id="33" w:name="_Toc178165642"/>
      <w:r>
        <w:rPr>
          <w:rFonts w:hint="eastAsia" w:ascii="方正小标宋_GBK" w:hAnsi="方正小标宋_GBK" w:eastAsia="方正小标宋_GBK" w:cs="黑体"/>
          <w:b w:val="0"/>
          <w:sz w:val="36"/>
          <w:szCs w:val="36"/>
        </w:rPr>
        <w:t>第二章 规划基础</w:t>
      </w:r>
      <w:bookmarkEnd w:id="32"/>
      <w:bookmarkEnd w:id="33"/>
    </w:p>
    <w:p w14:paraId="59AAFD77">
      <w:pPr>
        <w:pStyle w:val="3"/>
        <w:widowControl/>
        <w:ind w:firstLine="0" w:firstLineChars="0"/>
      </w:pPr>
      <w:bookmarkStart w:id="34" w:name="_Toc153976282"/>
      <w:bookmarkStart w:id="35" w:name="_Toc240028029"/>
      <w:bookmarkStart w:id="36" w:name="_Toc178165643"/>
      <w:r>
        <w:rPr>
          <w:rFonts w:hint="eastAsia" w:cs="黑体"/>
        </w:rPr>
        <w:t>第一节</w:t>
      </w:r>
      <w:r>
        <w:t xml:space="preserve"> </w:t>
      </w:r>
      <w:r>
        <w:rPr>
          <w:rFonts w:hint="eastAsia" w:cs="黑体"/>
        </w:rPr>
        <w:t>现状</w:t>
      </w:r>
      <w:bookmarkEnd w:id="34"/>
      <w:r>
        <w:rPr>
          <w:rFonts w:hint="eastAsia" w:cs="黑体"/>
        </w:rPr>
        <w:t>特征与主要问题</w:t>
      </w:r>
      <w:bookmarkEnd w:id="35"/>
      <w:bookmarkEnd w:id="36"/>
    </w:p>
    <w:p w14:paraId="3BDC776B">
      <w:pPr>
        <w:pStyle w:val="25"/>
        <w:widowControl/>
        <w:numPr>
          <w:ilvl w:val="0"/>
          <w:numId w:val="2"/>
        </w:numPr>
        <w:spacing w:before="312" w:beforeLines="100" w:after="156" w:afterLines="50"/>
        <w:ind w:firstLineChars="0"/>
        <w:rPr>
          <w:rFonts w:ascii="楷体" w:hAnsi="楷体" w:cs="黑体"/>
          <w:szCs w:val="32"/>
        </w:rPr>
      </w:pPr>
      <w:r>
        <w:rPr>
          <w:rFonts w:hint="eastAsia" w:ascii="楷体" w:hAnsi="楷体" w:cs="黑体"/>
          <w:szCs w:val="32"/>
        </w:rPr>
        <w:t xml:space="preserve"> 现状概况</w:t>
      </w:r>
    </w:p>
    <w:p w14:paraId="6F46D411">
      <w:pPr>
        <w:pStyle w:val="25"/>
        <w:widowControl/>
        <w:spacing w:before="312" w:beforeLines="100" w:after="156" w:afterLines="50"/>
        <w:ind w:firstLine="640"/>
        <w:jc w:val="both"/>
        <w:rPr>
          <w:rFonts w:ascii="楷体" w:hAnsi="楷体" w:cs="黑体"/>
          <w:szCs w:val="32"/>
        </w:rPr>
      </w:pPr>
      <w:r>
        <w:rPr>
          <w:rFonts w:hint="eastAsia" w:ascii="Times New Roman" w:hAnsi="Times New Roman" w:eastAsia="仿宋_GB2312"/>
          <w:szCs w:val="32"/>
          <w:lang w:bidi="ar"/>
        </w:rPr>
        <w:t>后头乡位于绥棱县城南</w:t>
      </w:r>
      <w:r>
        <w:rPr>
          <w:rFonts w:ascii="Times New Roman" w:hAnsi="Times New Roman" w:eastAsia="仿宋_GB2312"/>
          <w:szCs w:val="32"/>
          <w:lang w:bidi="ar"/>
        </w:rPr>
        <w:t>7.5</w:t>
      </w:r>
      <w:r>
        <w:rPr>
          <w:rFonts w:hint="eastAsia" w:ascii="Times New Roman" w:hAnsi="Times New Roman" w:eastAsia="仿宋_GB2312"/>
          <w:szCs w:val="32"/>
          <w:lang w:bidi="ar"/>
        </w:rPr>
        <w:t>公里处，东与上集镇相接，南与绥化市北林区三井乡相连，西与海伦市海南乡相邻，北与靠山乡毗邻。后头乡地处松嫩平原西北部，是东北平原农产品主产区，连续多年进入全国产粮大乡行列。</w:t>
      </w:r>
    </w:p>
    <w:p w14:paraId="35F6D692">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国土空间现状特征</w:t>
      </w:r>
    </w:p>
    <w:p w14:paraId="3A3E46F5">
      <w:pPr>
        <w:ind w:firstLine="640"/>
        <w:rPr>
          <w:rFonts w:eastAsia="楷体_GB2312" w:cs="楷体_GB2312"/>
          <w:lang w:bidi="ar"/>
        </w:rPr>
      </w:pPr>
      <w:r>
        <w:rPr>
          <w:rFonts w:hint="eastAsia" w:eastAsia="楷体_GB2312" w:cs="楷体_GB2312"/>
          <w:lang w:bidi="ar"/>
        </w:rPr>
        <w:t>1.国土开发强度较低，适宜发展农业生产。</w:t>
      </w:r>
    </w:p>
    <w:p w14:paraId="6959ECEF">
      <w:pPr>
        <w:ind w:firstLine="640"/>
        <w:rPr>
          <w:rFonts w:eastAsia="楷体_GB2312" w:cs="楷体_GB2312"/>
          <w:lang w:bidi="ar"/>
        </w:rPr>
      </w:pPr>
      <w:r>
        <w:rPr>
          <w:rFonts w:hint="eastAsia"/>
        </w:rPr>
        <w:t>后头乡主要粮食作物有玉米、水稻等；经济作物有蔬菜和瓜果；畜牧业以生猪、牛、鸭为主。</w:t>
      </w:r>
    </w:p>
    <w:p w14:paraId="190C9E60">
      <w:pPr>
        <w:ind w:firstLine="640"/>
        <w:rPr>
          <w:rFonts w:eastAsia="楷体_GB2312" w:cs="楷体_GB2312"/>
          <w:lang w:bidi="ar"/>
        </w:rPr>
      </w:pPr>
      <w:r>
        <w:rPr>
          <w:rFonts w:hint="eastAsia" w:eastAsia="楷体_GB2312" w:cs="楷体_GB2312"/>
          <w:lang w:bidi="ar"/>
        </w:rPr>
        <w:t>2.耕地保护和乡村振兴战略全面推进。</w:t>
      </w:r>
    </w:p>
    <w:p w14:paraId="31E57416">
      <w:pPr>
        <w:ind w:firstLine="640"/>
      </w:pPr>
      <w:r>
        <w:rPr>
          <w:rFonts w:hint="eastAsia" w:cs="Times New Roman"/>
          <w:lang w:bidi="ar"/>
        </w:rPr>
        <w:t>完成上一轮规划确定的耕地和永久基本农田保护任务，强化国土空间综合整治修复。乡村产业不断发展，相继建设“特色农作物”村庄，不断扩大甜菜、大葱、白皮蒜、马铃薯等高效作物面积，建成大葱种植专业屯和马铃薯种植专业屯，积极争取蔬菜生产专业屯。美丽乡村建设不断推进，农村环境持续改善，农民收入显著增加。</w:t>
      </w:r>
      <w:r>
        <w:rPr>
          <w:rFonts w:hint="eastAsia"/>
        </w:rPr>
        <w:t xml:space="preserve">  </w:t>
      </w:r>
    </w:p>
    <w:p w14:paraId="3285812B">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核心问题</w:t>
      </w:r>
    </w:p>
    <w:p w14:paraId="24801B15">
      <w:pPr>
        <w:pStyle w:val="27"/>
        <w:widowControl/>
        <w:ind w:left="640"/>
      </w:pPr>
      <w:r>
        <w:t>1.</w:t>
      </w:r>
      <w:r>
        <w:rPr>
          <w:rFonts w:hint="eastAsia" w:eastAsia="楷体_GB2312" w:cs="楷体_GB2312"/>
        </w:rPr>
        <w:t>黑土地保护面临挑战，粮食安全保障能力有待加强</w:t>
      </w:r>
    </w:p>
    <w:p w14:paraId="3456487D">
      <w:pPr>
        <w:ind w:firstLine="640"/>
      </w:pPr>
      <w:r>
        <w:rPr>
          <w:rFonts w:hint="eastAsia" w:cs="仿宋_GB2312"/>
          <w:lang w:bidi="ar"/>
        </w:rPr>
        <w:t>后头乡是绥棱县黑土地集中分布区域之一，承担着国家粮食安全的重要保障任务，目前保障国家粮食安全面临着黑土地保护修复、农田水利设施完善等方面的问题。</w:t>
      </w:r>
    </w:p>
    <w:p w14:paraId="0EAB783B">
      <w:pPr>
        <w:pStyle w:val="12"/>
        <w:ind w:left="643" w:firstLine="0" w:firstLineChars="0"/>
        <w:rPr>
          <w:rFonts w:ascii="Calibri" w:hAnsi="Calibri" w:eastAsia="楷体_GB2312" w:cs="Times New Roman"/>
          <w:szCs w:val="28"/>
        </w:rPr>
      </w:pPr>
      <w:r>
        <w:rPr>
          <w:rFonts w:eastAsia="楷体_GB2312" w:cs="Times New Roman"/>
          <w:sz w:val="32"/>
          <w:szCs w:val="28"/>
          <w:lang w:bidi="ar"/>
        </w:rPr>
        <w:t>2.</w:t>
      </w:r>
      <w:r>
        <w:rPr>
          <w:rFonts w:hint="eastAsia" w:ascii="Calibri" w:hAnsi="Calibri" w:eastAsia="楷体_GB2312" w:cs="楷体_GB2312"/>
          <w:sz w:val="32"/>
          <w:szCs w:val="28"/>
          <w:lang w:bidi="ar"/>
        </w:rPr>
        <w:t>国土空间保护利用存在一定压力</w:t>
      </w:r>
    </w:p>
    <w:p w14:paraId="2217E28C">
      <w:pPr>
        <w:ind w:firstLine="640"/>
      </w:pPr>
      <w:r>
        <w:rPr>
          <w:rFonts w:hint="eastAsia" w:cs="仿宋_GB2312"/>
          <w:lang w:bidi="ar"/>
        </w:rPr>
        <w:t>地表径流与农业生产造成河流水质污染问题日趋严重，农业生产使用化肥等有机肥料、坡耕地面积扩大增加地表径流等现象导致努敏河、克音河等地表水质产生轻度污染。</w:t>
      </w:r>
    </w:p>
    <w:p w14:paraId="4E135B2D">
      <w:pPr>
        <w:pStyle w:val="12"/>
        <w:ind w:left="643" w:firstLine="0" w:firstLineChars="0"/>
        <w:rPr>
          <w:rFonts w:ascii="Calibri" w:hAnsi="Calibri" w:eastAsia="楷体_GB2312" w:cs="Times New Roman"/>
          <w:szCs w:val="28"/>
        </w:rPr>
      </w:pPr>
      <w:r>
        <w:rPr>
          <w:rFonts w:eastAsia="楷体_GB2312" w:cs="Times New Roman"/>
          <w:sz w:val="32"/>
          <w:szCs w:val="28"/>
          <w:lang w:bidi="ar"/>
        </w:rPr>
        <w:t>3.</w:t>
      </w:r>
      <w:r>
        <w:rPr>
          <w:rFonts w:hint="eastAsia" w:ascii="Calibri" w:hAnsi="Calibri" w:eastAsia="楷体_GB2312" w:cs="楷体_GB2312"/>
          <w:sz w:val="32"/>
          <w:szCs w:val="28"/>
          <w:lang w:bidi="ar"/>
        </w:rPr>
        <w:t>自然灾害存在潜在风险</w:t>
      </w:r>
    </w:p>
    <w:p w14:paraId="4DD57519">
      <w:pPr>
        <w:ind w:firstLine="640"/>
        <w:rPr>
          <w:rFonts w:cs="仿宋_GB2312"/>
          <w:lang w:bidi="ar"/>
        </w:rPr>
      </w:pPr>
      <w:r>
        <w:rPr>
          <w:rFonts w:hint="eastAsia" w:cs="仿宋_GB2312"/>
          <w:lang w:bidi="ar"/>
        </w:rPr>
        <w:t>后头乡地貌形态属低山丘陵地带，属春旱高发区，夏季降雨集中，气象灾害整体风险较高。后头乡地质灾害为崩塌、滑坡、泥石流等类型，地质灾害风险区主要分布在低山缓坡区域，主要地质灾害风险点集中在红光村、振东村区域。后头乡四季灾害隐患点主要影响河道，侵蚀农田，对乡域建设活动影响较小。</w:t>
      </w:r>
    </w:p>
    <w:p w14:paraId="233E74E8">
      <w:pPr>
        <w:pStyle w:val="3"/>
        <w:widowControl/>
        <w:ind w:firstLine="0" w:firstLineChars="0"/>
      </w:pPr>
      <w:bookmarkStart w:id="37" w:name="_Toc153976283"/>
      <w:bookmarkStart w:id="38" w:name="_Toc178165644"/>
      <w:bookmarkStart w:id="39" w:name="_Toc240028030"/>
      <w:r>
        <w:rPr>
          <w:rFonts w:hint="eastAsia" w:cs="黑体"/>
        </w:rPr>
        <w:t>第二节</w:t>
      </w:r>
      <w:r>
        <w:t xml:space="preserve"> </w:t>
      </w:r>
      <w:bookmarkEnd w:id="37"/>
      <w:r>
        <w:rPr>
          <w:rFonts w:hint="eastAsia" w:cs="黑体"/>
        </w:rPr>
        <w:t>机遇与挑战</w:t>
      </w:r>
      <w:bookmarkEnd w:id="38"/>
      <w:bookmarkEnd w:id="39"/>
    </w:p>
    <w:p w14:paraId="5AB45B77">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发展机遇</w:t>
      </w:r>
    </w:p>
    <w:p w14:paraId="5267409E">
      <w:pPr>
        <w:pStyle w:val="12"/>
        <w:ind w:left="643" w:firstLine="0" w:firstLineChars="0"/>
        <w:rPr>
          <w:rFonts w:ascii="Calibri" w:hAnsi="Calibri" w:eastAsia="楷体_GB2312" w:cs="Times New Roman"/>
          <w:szCs w:val="28"/>
        </w:rPr>
      </w:pPr>
      <w:r>
        <w:rPr>
          <w:rFonts w:hint="eastAsia" w:eastAsia="楷体_GB2312" w:cs="Times New Roman"/>
          <w:sz w:val="32"/>
          <w:szCs w:val="28"/>
          <w:lang w:bidi="ar"/>
        </w:rPr>
        <w:t>1</w:t>
      </w:r>
      <w:r>
        <w:rPr>
          <w:rFonts w:eastAsia="楷体_GB2312" w:cs="Times New Roman"/>
          <w:sz w:val="32"/>
          <w:szCs w:val="28"/>
          <w:lang w:bidi="ar"/>
        </w:rPr>
        <w:t>.</w:t>
      </w:r>
      <w:r>
        <w:rPr>
          <w:rFonts w:hint="eastAsia" w:ascii="Calibri" w:hAnsi="Calibri" w:eastAsia="楷体_GB2312" w:cs="楷体_GB2312"/>
          <w:sz w:val="32"/>
          <w:szCs w:val="28"/>
          <w:lang w:bidi="ar"/>
        </w:rPr>
        <w:t>政策支持与乡村振兴战略</w:t>
      </w:r>
    </w:p>
    <w:p w14:paraId="62F32D5A">
      <w:pPr>
        <w:ind w:firstLine="640"/>
        <w:rPr>
          <w:rFonts w:cs="仿宋_GB2312"/>
          <w:lang w:bidi="ar"/>
        </w:rPr>
      </w:pPr>
      <w:r>
        <w:rPr>
          <w:rFonts w:hint="eastAsia" w:cs="仿宋_GB2312"/>
          <w:lang w:bidi="ar"/>
        </w:rPr>
        <w:t>在绥棱县委、县政府的正确领导下，后头乡认真贯彻落实省市县关于加快农村发展的一系列决策和部署，坚持以促进农民增收为核心目标，以发展现代化农业为重点，扎实推进全乡“三农”工作和乡村振兴战略发展。这为后头乡的发展提供了有力的政策支持和保障。</w:t>
      </w:r>
    </w:p>
    <w:p w14:paraId="5E2851F0">
      <w:pPr>
        <w:pStyle w:val="12"/>
        <w:ind w:left="643" w:firstLine="0" w:firstLineChars="0"/>
        <w:rPr>
          <w:rFonts w:ascii="Calibri" w:hAnsi="Calibri" w:eastAsia="楷体_GB2312" w:cs="Times New Roman"/>
          <w:szCs w:val="28"/>
        </w:rPr>
      </w:pPr>
      <w:r>
        <w:rPr>
          <w:rFonts w:hint="eastAsia" w:eastAsia="楷体_GB2312" w:cs="Times New Roman"/>
          <w:sz w:val="32"/>
          <w:szCs w:val="28"/>
          <w:lang w:bidi="ar"/>
        </w:rPr>
        <w:t>2</w:t>
      </w:r>
      <w:r>
        <w:rPr>
          <w:rFonts w:eastAsia="楷体_GB2312" w:cs="Times New Roman"/>
          <w:sz w:val="32"/>
          <w:szCs w:val="28"/>
          <w:lang w:bidi="ar"/>
        </w:rPr>
        <w:t>.</w:t>
      </w:r>
      <w:r>
        <w:rPr>
          <w:rFonts w:hint="eastAsia" w:ascii="Calibri" w:hAnsi="Calibri" w:eastAsia="楷体_GB2312" w:cs="楷体_GB2312"/>
          <w:sz w:val="32"/>
          <w:szCs w:val="28"/>
          <w:lang w:bidi="ar"/>
        </w:rPr>
        <w:t>多种经营与创新突破</w:t>
      </w:r>
    </w:p>
    <w:p w14:paraId="2C369076">
      <w:pPr>
        <w:ind w:firstLine="640"/>
      </w:pPr>
      <w:r>
        <w:rPr>
          <w:rFonts w:hint="eastAsia" w:cs="仿宋_GB2312"/>
          <w:lang w:bidi="ar"/>
        </w:rPr>
        <w:t>后头乡在发展特色种植产业的基础上，注重多种经营和创新突破。在种植黑木耳的同时，积极探索新品种；依托良好的生态环境和自然资源，发展有机蔬菜和水果等。这些举措有助于拓宽增收渠道，增强乡村经济的可持续发展能力。</w:t>
      </w:r>
    </w:p>
    <w:p w14:paraId="3ADA3ACE">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风险挑战</w:t>
      </w:r>
    </w:p>
    <w:p w14:paraId="2142CB7F">
      <w:pPr>
        <w:ind w:firstLine="640"/>
        <w:rPr>
          <w:rStyle w:val="28"/>
        </w:rPr>
      </w:pPr>
      <w:r>
        <w:rPr>
          <w:rStyle w:val="28"/>
        </w:rPr>
        <w:t>1.</w:t>
      </w:r>
      <w:r>
        <w:rPr>
          <w:rStyle w:val="28"/>
          <w:rFonts w:hint="eastAsia"/>
        </w:rPr>
        <w:t>后头乡在发展农业产业时，需要关注技术创新和品牌建设</w:t>
      </w:r>
    </w:p>
    <w:p w14:paraId="09681DA3">
      <w:pPr>
        <w:ind w:firstLine="640"/>
        <w:rPr>
          <w:rFonts w:ascii="华文仿宋" w:hAnsi="华文仿宋" w:eastAsia="华文仿宋" w:cs="华文仿宋"/>
          <w:szCs w:val="28"/>
        </w:rPr>
      </w:pPr>
      <w:r>
        <w:rPr>
          <w:rFonts w:hint="eastAsia" w:ascii="华文仿宋" w:hAnsi="华文仿宋" w:eastAsia="华文仿宋" w:cs="华文仿宋"/>
          <w:szCs w:val="28"/>
          <w:lang w:bidi="ar"/>
        </w:rPr>
        <w:t>引进新技术，培育新的农作物品种，同时加强品牌建设，以提高产品的市场价值和竞争力。</w:t>
      </w:r>
    </w:p>
    <w:p w14:paraId="58BDC88C">
      <w:pPr>
        <w:numPr>
          <w:ilvl w:val="0"/>
          <w:numId w:val="3"/>
        </w:numPr>
        <w:ind w:firstLine="640"/>
        <w:rPr>
          <w:rStyle w:val="28"/>
        </w:rPr>
      </w:pPr>
      <w:r>
        <w:rPr>
          <w:rStyle w:val="28"/>
          <w:rFonts w:hint="eastAsia"/>
        </w:rPr>
        <w:t>后头乡还面临着环境治理和乡村美化的挑战</w:t>
      </w:r>
    </w:p>
    <w:p w14:paraId="6077EB1A">
      <w:pPr>
        <w:ind w:firstLine="640"/>
        <w:rPr>
          <w:rFonts w:ascii="华文仿宋" w:hAnsi="华文仿宋" w:eastAsia="华文仿宋" w:cs="华文仿宋"/>
          <w:szCs w:val="28"/>
        </w:rPr>
      </w:pPr>
      <w:r>
        <w:rPr>
          <w:rFonts w:hint="eastAsia" w:ascii="华文仿宋" w:hAnsi="华文仿宋" w:eastAsia="华文仿宋" w:cs="华文仿宋"/>
          <w:szCs w:val="28"/>
          <w:lang w:bidi="ar"/>
        </w:rPr>
        <w:t>通过设立“公益银行”等机制，引导村民参与村屯环境整治、移风易俗等公益事业，改善乡村风貌，提升村民的幸福感和归属感。</w:t>
      </w:r>
    </w:p>
    <w:p w14:paraId="3553FCC9">
      <w:pPr>
        <w:numPr>
          <w:ilvl w:val="0"/>
          <w:numId w:val="3"/>
        </w:numPr>
        <w:ind w:firstLine="640"/>
        <w:rPr>
          <w:rStyle w:val="28"/>
        </w:rPr>
      </w:pPr>
      <w:r>
        <w:rPr>
          <w:rStyle w:val="28"/>
          <w:rFonts w:hint="eastAsia"/>
        </w:rPr>
        <w:t>后头乡面临水土流失等自然环境问题</w:t>
      </w:r>
    </w:p>
    <w:p w14:paraId="1093A36B">
      <w:pPr>
        <w:ind w:firstLine="640"/>
        <w:rPr>
          <w:rFonts w:ascii="华文仿宋" w:hAnsi="华文仿宋" w:eastAsia="华文仿宋" w:cs="华文仿宋"/>
          <w:szCs w:val="28"/>
          <w:lang w:bidi="ar"/>
        </w:rPr>
      </w:pPr>
      <w:r>
        <w:rPr>
          <w:rFonts w:hint="eastAsia" w:ascii="华文仿宋" w:hAnsi="华文仿宋" w:eastAsia="华文仿宋" w:cs="华文仿宋"/>
          <w:szCs w:val="28"/>
          <w:lang w:bidi="ar"/>
        </w:rPr>
        <w:t>需要通过科学规划，保护和改善生态环境，实现可持续发展‌。</w:t>
      </w:r>
    </w:p>
    <w:p w14:paraId="11A5377C">
      <w:pPr>
        <w:pStyle w:val="2"/>
        <w:widowControl/>
        <w:tabs>
          <w:tab w:val="left" w:pos="0"/>
        </w:tabs>
        <w:spacing w:before="360" w:after="120" w:line="560" w:lineRule="exact"/>
        <w:ind w:firstLine="243" w:firstLineChars="55"/>
        <w:jc w:val="center"/>
        <w:rPr>
          <w:rFonts w:ascii="方正小标宋_GBK" w:hAnsi="方正小标宋_GBK" w:eastAsia="方正小标宋_GBK" w:cs="黑体"/>
          <w:b w:val="0"/>
          <w:sz w:val="36"/>
          <w:szCs w:val="36"/>
        </w:rPr>
      </w:pPr>
      <w:r>
        <w:rPr>
          <w:lang w:bidi="ar"/>
        </w:rPr>
        <w:br w:type="page"/>
      </w:r>
      <w:bookmarkStart w:id="40" w:name="_Toc240028031"/>
      <w:bookmarkStart w:id="41" w:name="_Toc178165645"/>
      <w:r>
        <w:rPr>
          <w:rFonts w:hint="eastAsia" w:ascii="方正小标宋_GBK" w:hAnsi="方正小标宋_GBK" w:eastAsia="方正小标宋_GBK" w:cs="黑体"/>
          <w:b w:val="0"/>
          <w:sz w:val="36"/>
          <w:szCs w:val="36"/>
        </w:rPr>
        <w:t>第三章  目标定位与空间策略</w:t>
      </w:r>
      <w:bookmarkEnd w:id="40"/>
      <w:bookmarkEnd w:id="41"/>
    </w:p>
    <w:p w14:paraId="1B75ED81">
      <w:pPr>
        <w:pStyle w:val="3"/>
        <w:widowControl/>
        <w:ind w:firstLine="0" w:firstLineChars="0"/>
        <w:rPr>
          <w:rFonts w:cs="黑体"/>
        </w:rPr>
      </w:pPr>
      <w:bookmarkStart w:id="42" w:name="_Toc178165646"/>
      <w:bookmarkStart w:id="43" w:name="_Toc240028032"/>
      <w:r>
        <w:rPr>
          <w:rFonts w:hint="eastAsia" w:cs="黑体"/>
        </w:rPr>
        <w:t>第一节</w:t>
      </w:r>
      <w:r>
        <w:t xml:space="preserve"> </w:t>
      </w:r>
      <w:r>
        <w:rPr>
          <w:rFonts w:hint="eastAsia" w:cs="黑体"/>
        </w:rPr>
        <w:t>规划定位</w:t>
      </w:r>
      <w:bookmarkEnd w:id="42"/>
      <w:bookmarkEnd w:id="43"/>
    </w:p>
    <w:p w14:paraId="040363AA">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发展定位</w:t>
      </w:r>
    </w:p>
    <w:p w14:paraId="00F12170">
      <w:pPr>
        <w:ind w:firstLine="640"/>
      </w:pPr>
      <w:r>
        <w:rPr>
          <w:rFonts w:hint="eastAsia" w:cs="仿宋_GB2312"/>
          <w:lang w:bidi="ar"/>
        </w:rPr>
        <w:t>后头乡是绥棱县以种植业和养殖业为主，生态农业发展为辅的一般乡。</w:t>
      </w:r>
    </w:p>
    <w:p w14:paraId="757E61CD">
      <w:pPr>
        <w:pStyle w:val="27"/>
        <w:ind w:left="640"/>
        <w:jc w:val="both"/>
      </w:pPr>
      <w:r>
        <w:t>1.</w:t>
      </w:r>
      <w:r>
        <w:rPr>
          <w:rFonts w:hint="eastAsia"/>
        </w:rPr>
        <w:t>以种植业和养殖业为主的乡</w:t>
      </w:r>
    </w:p>
    <w:p w14:paraId="52F5BA86">
      <w:pPr>
        <w:ind w:firstLine="640"/>
      </w:pPr>
      <w:r>
        <w:rPr>
          <w:rFonts w:hint="eastAsia" w:cs="仿宋_GB2312"/>
          <w:lang w:bidi="ar"/>
        </w:rPr>
        <w:t>充分利用后头乡的耕地资源，突出发展水稻种植业、玉米种植业和养殖业，在后头乡重点打造现代</w:t>
      </w:r>
      <w:r>
        <w:rPr>
          <w:rFonts w:hint="eastAsia" w:ascii="仿宋" w:hAnsi="仿宋" w:cs="仿宋"/>
          <w:kern w:val="0"/>
          <w:sz w:val="31"/>
          <w:szCs w:val="31"/>
          <w:lang w:bidi="ar"/>
        </w:rPr>
        <w:t>农业产业项目</w:t>
      </w:r>
      <w:r>
        <w:rPr>
          <w:rFonts w:hint="eastAsia" w:cs="仿宋_GB2312"/>
          <w:lang w:bidi="ar"/>
        </w:rPr>
        <w:t>。</w:t>
      </w:r>
    </w:p>
    <w:p w14:paraId="4FA81D0E">
      <w:pPr>
        <w:pStyle w:val="27"/>
        <w:ind w:left="640"/>
        <w:jc w:val="both"/>
      </w:pPr>
      <w:r>
        <w:rPr>
          <w:rFonts w:hint="eastAsia"/>
        </w:rPr>
        <w:t>2.生态农业发展为辅的乡</w:t>
      </w:r>
    </w:p>
    <w:p w14:paraId="7E29724F">
      <w:pPr>
        <w:widowControl/>
        <w:ind w:firstLine="620"/>
        <w:rPr>
          <w:rFonts w:ascii="仿宋" w:hAnsi="仿宋" w:cs="仿宋"/>
          <w:kern w:val="0"/>
          <w:sz w:val="31"/>
          <w:szCs w:val="31"/>
          <w:lang w:bidi="ar"/>
        </w:rPr>
      </w:pPr>
      <w:r>
        <w:rPr>
          <w:rFonts w:hint="eastAsia" w:ascii="仿宋" w:hAnsi="仿宋" w:cs="仿宋"/>
          <w:kern w:val="0"/>
          <w:sz w:val="31"/>
          <w:szCs w:val="31"/>
          <w:lang w:bidi="ar"/>
        </w:rPr>
        <w:t>在保护、改善农业生态环境的前提下，加强努敏河、克音河流域水质的改善，加快构建生态农业发展基地，强化各类资源整合利用。</w:t>
      </w:r>
    </w:p>
    <w:p w14:paraId="3178E0FA">
      <w:pPr>
        <w:pStyle w:val="3"/>
        <w:widowControl/>
        <w:ind w:firstLine="0" w:firstLineChars="0"/>
      </w:pPr>
      <w:bookmarkStart w:id="44" w:name="_Toc178165647"/>
      <w:bookmarkStart w:id="45" w:name="_Toc240028033"/>
      <w:r>
        <w:rPr>
          <w:rFonts w:hint="eastAsia" w:cs="黑体"/>
        </w:rPr>
        <w:t>第二节</w:t>
      </w:r>
      <w:r>
        <w:t xml:space="preserve"> </w:t>
      </w:r>
      <w:r>
        <w:rPr>
          <w:rFonts w:hint="eastAsia" w:cs="黑体"/>
        </w:rPr>
        <w:t>规划目标与策略</w:t>
      </w:r>
      <w:bookmarkEnd w:id="44"/>
      <w:bookmarkEnd w:id="45"/>
    </w:p>
    <w:p w14:paraId="72B2EE58">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国土空间开发保护目标</w:t>
      </w:r>
    </w:p>
    <w:p w14:paraId="186A7577">
      <w:pPr>
        <w:ind w:firstLine="640"/>
        <w:rPr>
          <w:rFonts w:ascii="仿宋_GB2312" w:cs="仿宋_GB2312"/>
        </w:rPr>
      </w:pPr>
      <w:r>
        <w:rPr>
          <w:rFonts w:hint="eastAsia"/>
        </w:rPr>
        <w:t>规划</w:t>
      </w:r>
      <w:r>
        <w:rPr>
          <w:rFonts w:hint="eastAsia" w:cs="仿宋_GB2312"/>
          <w:lang w:bidi="ar"/>
        </w:rPr>
        <w:t>到</w:t>
      </w:r>
      <w:r>
        <w:rPr>
          <w:rFonts w:cs="Times New Roman"/>
          <w:lang w:bidi="ar"/>
        </w:rPr>
        <w:t>2025</w:t>
      </w:r>
      <w:r>
        <w:rPr>
          <w:rFonts w:hint="eastAsia" w:cs="仿宋_GB2312"/>
          <w:lang w:bidi="ar"/>
        </w:rPr>
        <w:t>年，</w:t>
      </w:r>
      <w:r>
        <w:rPr>
          <w:rFonts w:hint="eastAsia" w:ascii="仿宋_GB2312" w:cs="仿宋_GB2312"/>
          <w:lang w:bidi="ar"/>
        </w:rPr>
        <w:t>黑土地基础地力稳步恢复，生态保护成效显著。</w:t>
      </w:r>
      <w:r>
        <w:rPr>
          <w:rFonts w:hint="eastAsia" w:cs="仿宋_GB2312"/>
          <w:lang w:bidi="ar"/>
        </w:rPr>
        <w:t>乡域</w:t>
      </w:r>
      <w:r>
        <w:rPr>
          <w:rFonts w:hint="eastAsia" w:ascii="仿宋_GB2312" w:cs="仿宋_GB2312"/>
          <w:lang w:bidi="ar"/>
        </w:rPr>
        <w:t>基本公共服务均等化水平稳步提高，国土空间品质不断提升。建立健全生态文明体系、产业发展体系、乡村空间体系、民生保障体系。</w:t>
      </w:r>
    </w:p>
    <w:p w14:paraId="67E1228B">
      <w:pPr>
        <w:ind w:firstLine="640"/>
        <w:rPr>
          <w:rFonts w:ascii="仿宋_GB2312" w:cs="仿宋_GB2312"/>
        </w:rPr>
      </w:pPr>
      <w:r>
        <w:rPr>
          <w:rFonts w:hint="eastAsia"/>
        </w:rPr>
        <w:t>规划</w:t>
      </w:r>
      <w:r>
        <w:rPr>
          <w:rFonts w:hint="eastAsia" w:cs="仿宋_GB2312"/>
          <w:lang w:bidi="ar"/>
        </w:rPr>
        <w:t>到</w:t>
      </w:r>
      <w:r>
        <w:rPr>
          <w:rFonts w:cs="Times New Roman"/>
          <w:lang w:bidi="ar"/>
        </w:rPr>
        <w:t>2035</w:t>
      </w:r>
      <w:r>
        <w:rPr>
          <w:rFonts w:hint="eastAsia" w:cs="仿宋_GB2312"/>
          <w:lang w:bidi="ar"/>
        </w:rPr>
        <w:t>年，</w:t>
      </w:r>
      <w:r>
        <w:rPr>
          <w:rFonts w:hint="eastAsia" w:ascii="仿宋_GB2312" w:cs="仿宋_GB2312"/>
          <w:lang w:bidi="ar"/>
        </w:rPr>
        <w:t>黑土地数量质量稳定，东北森林带生态系统健康稳定，实现国土空间安全永续。乡政府驻地功能布局进一步优化，实现国土空间集约高效利用。将后头乡建设成为全省知名的产粮大乡，特色农业生产乡。</w:t>
      </w:r>
    </w:p>
    <w:p w14:paraId="4FCA6D50">
      <w:pPr>
        <w:ind w:firstLine="640"/>
        <w:rPr>
          <w:rFonts w:cs="仿宋_GB2312"/>
          <w:lang w:bidi="ar"/>
        </w:rPr>
      </w:pPr>
      <w:r>
        <w:rPr>
          <w:rFonts w:hint="eastAsia"/>
        </w:rPr>
        <w:t>规划</w:t>
      </w:r>
      <w:r>
        <w:rPr>
          <w:rFonts w:hint="eastAsia" w:cs="仿宋_GB2312"/>
          <w:lang w:bidi="ar"/>
        </w:rPr>
        <w:t>到</w:t>
      </w:r>
      <w:r>
        <w:rPr>
          <w:rFonts w:cs="Times New Roman"/>
          <w:lang w:bidi="ar"/>
        </w:rPr>
        <w:t>2050</w:t>
      </w:r>
      <w:r>
        <w:rPr>
          <w:rFonts w:hint="eastAsia" w:cs="仿宋_GB2312"/>
          <w:lang w:bidi="ar"/>
        </w:rPr>
        <w:t>年，</w:t>
      </w:r>
      <w:bookmarkStart w:id="46" w:name="_Hlk140217618"/>
      <w:r>
        <w:rPr>
          <w:rFonts w:hint="eastAsia" w:cs="仿宋_GB2312"/>
          <w:lang w:bidi="ar"/>
        </w:rPr>
        <w:t>国土空间品质全面提升。实现国土空间有效治理、高效利用</w:t>
      </w:r>
      <w:bookmarkEnd w:id="46"/>
      <w:r>
        <w:rPr>
          <w:rFonts w:hint="eastAsia" w:cs="仿宋_GB2312"/>
          <w:lang w:bidi="ar"/>
        </w:rPr>
        <w:t>；乡域特色文化旅游服务功能显著提高；产业体系进一步完善，核心竞争力不断增强；民生更加富足，生活环境全面提高。</w:t>
      </w:r>
    </w:p>
    <w:p w14:paraId="53CFBC8E">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国土空间开发保护策略</w:t>
      </w:r>
    </w:p>
    <w:p w14:paraId="6AE159EE">
      <w:pPr>
        <w:pStyle w:val="27"/>
        <w:numPr>
          <w:ilvl w:val="0"/>
          <w:numId w:val="4"/>
        </w:numPr>
        <w:ind w:left="1060"/>
      </w:pPr>
      <w:r>
        <w:rPr>
          <w:rFonts w:hint="eastAsia"/>
        </w:rPr>
        <w:t>内涵发展，提质增量</w:t>
      </w:r>
    </w:p>
    <w:p w14:paraId="2FD48756">
      <w:pPr>
        <w:ind w:firstLine="640"/>
        <w:rPr>
          <w:rFonts w:ascii="仿宋_GB2312" w:cs="仿宋_GB2312"/>
        </w:rPr>
      </w:pPr>
      <w:r>
        <w:rPr>
          <w:rFonts w:hint="eastAsia" w:ascii="仿宋_GB2312" w:cs="仿宋_GB2312"/>
          <w:lang w:bidi="ar"/>
        </w:rPr>
        <w:t>牢固树立和贯彻落实创新、协调、绿色、开放、共享的发展理念，全面提高国土开发质量和效率，做优增量、盘活存量，注重内涵发展。</w:t>
      </w:r>
    </w:p>
    <w:p w14:paraId="4E7C1AC1">
      <w:pPr>
        <w:pStyle w:val="27"/>
        <w:numPr>
          <w:ilvl w:val="0"/>
          <w:numId w:val="4"/>
        </w:numPr>
        <w:ind w:left="1060"/>
      </w:pPr>
      <w:r>
        <w:rPr>
          <w:rFonts w:hint="eastAsia"/>
        </w:rPr>
        <w:t>黑土保护、农业保障</w:t>
      </w:r>
    </w:p>
    <w:p w14:paraId="7BF9FFD3">
      <w:pPr>
        <w:ind w:firstLine="640"/>
      </w:pPr>
      <w:r>
        <w:rPr>
          <w:rFonts w:hint="eastAsia" w:cs="仿宋_GB2312"/>
          <w:lang w:bidi="ar"/>
        </w:rPr>
        <w:t>围绕全省建设“藏粮于地、藏粮于技”国家战略示范区、黑土地保护样板区，依托绥棱县地处寒地黑土核心区的资源禀赋，落实最严格的耕地保护制度，切实把黑土地这个“耕地中的大熊猫”保护好、利用好，打造保障国家粮食安全的“压舱石”，为现代农业发展提供坚实基础。</w:t>
      </w:r>
    </w:p>
    <w:p w14:paraId="2A4FD543">
      <w:pPr>
        <w:pStyle w:val="27"/>
        <w:numPr>
          <w:ilvl w:val="0"/>
          <w:numId w:val="4"/>
        </w:numPr>
        <w:ind w:left="1060"/>
      </w:pPr>
      <w:r>
        <w:rPr>
          <w:rFonts w:hint="eastAsia"/>
        </w:rPr>
        <w:t>三产融合，乡村协调</w:t>
      </w:r>
    </w:p>
    <w:p w14:paraId="449CD554">
      <w:pPr>
        <w:ind w:firstLine="640"/>
        <w:rPr>
          <w:rFonts w:ascii="仿宋_GB2312" w:cs="仿宋_GB2312"/>
        </w:rPr>
      </w:pPr>
      <w:r>
        <w:rPr>
          <w:rFonts w:hint="eastAsia" w:ascii="仿宋_GB2312" w:cs="仿宋_GB2312"/>
          <w:lang w:bidi="ar"/>
        </w:rPr>
        <w:t>加快农村“一二三”产业融合发展，鼓励特色种植养殖，持续改善农村人居环境，完善“乡—村”生活圈体系。统筹乡村基础设施建设与服务，补齐基础设施短板，完善综合配套服务能力，提高人居环境质量，增强吸引力。</w:t>
      </w:r>
    </w:p>
    <w:p w14:paraId="7EBD2C2D">
      <w:pPr>
        <w:pStyle w:val="27"/>
        <w:numPr>
          <w:ilvl w:val="0"/>
          <w:numId w:val="4"/>
        </w:numPr>
        <w:ind w:left="1060"/>
      </w:pPr>
      <w:r>
        <w:rPr>
          <w:rFonts w:hint="eastAsia"/>
        </w:rPr>
        <w:t>系统优化、协调发展</w:t>
      </w:r>
    </w:p>
    <w:p w14:paraId="7A64C9D4">
      <w:pPr>
        <w:ind w:firstLine="640"/>
        <w:rPr>
          <w:rFonts w:ascii="楷体" w:hAnsi="楷体" w:cs="黑体"/>
        </w:rPr>
      </w:pPr>
      <w:r>
        <w:rPr>
          <w:rFonts w:hint="eastAsia" w:cs="仿宋_GB2312"/>
          <w:lang w:bidi="ar"/>
        </w:rPr>
        <w:t>坚持山水林田湖草生命共同体，优化资源要素配置。重点改善水域生态功能，加强湿地恢复；优化耕地布局，推动高标准农田建设；开展集中连片造林绿化工程；提升建设用地节约集约利用水平，整治乡域低效用地，优化村庄布局。</w:t>
      </w:r>
    </w:p>
    <w:p w14:paraId="5720B89B">
      <w:pPr>
        <w:pStyle w:val="3"/>
        <w:widowControl/>
        <w:ind w:firstLine="0" w:firstLineChars="0"/>
      </w:pPr>
      <w:bookmarkStart w:id="47" w:name="_Toc240028034"/>
      <w:bookmarkStart w:id="48" w:name="_Toc178165648"/>
      <w:r>
        <w:rPr>
          <w:rFonts w:hint="eastAsia" w:cs="黑体"/>
        </w:rPr>
        <w:t>第三节</w:t>
      </w:r>
      <w:r>
        <w:t xml:space="preserve"> </w:t>
      </w:r>
      <w:r>
        <w:rPr>
          <w:rFonts w:hint="eastAsia" w:cs="黑体"/>
        </w:rPr>
        <w:t>指标体系与上位规划落实</w:t>
      </w:r>
      <w:bookmarkEnd w:id="47"/>
      <w:bookmarkEnd w:id="48"/>
    </w:p>
    <w:p w14:paraId="7C120E45">
      <w:pPr>
        <w:pStyle w:val="25"/>
        <w:widowControl/>
        <w:numPr>
          <w:ilvl w:val="0"/>
          <w:numId w:val="2"/>
        </w:numPr>
        <w:spacing w:before="312" w:beforeLines="100" w:after="156" w:afterLines="50"/>
        <w:ind w:left="0" w:firstLine="0" w:firstLineChars="0"/>
        <w:rPr>
          <w:rFonts w:ascii="楷体" w:hAnsi="楷体" w:cs="黑体"/>
          <w:szCs w:val="32"/>
        </w:rPr>
      </w:pPr>
      <w:r>
        <w:rPr>
          <w:rFonts w:hint="eastAsia" w:ascii="楷体" w:hAnsi="楷体" w:cs="黑体"/>
          <w:szCs w:val="32"/>
        </w:rPr>
        <w:t>上位规划落实</w:t>
      </w:r>
    </w:p>
    <w:p w14:paraId="20D4EC0D">
      <w:pPr>
        <w:ind w:firstLine="640"/>
        <w:rPr>
          <w:rFonts w:cs="仿宋_GB2312"/>
          <w:lang w:bidi="ar"/>
        </w:rPr>
      </w:pPr>
      <w:r>
        <w:rPr>
          <w:rFonts w:hint="eastAsia" w:ascii="仿宋_GB2312" w:hAnsi="宋体"/>
          <w:szCs w:val="30"/>
        </w:rPr>
        <w:t>落实上位规划划定的三条控制线，主要包括耕地保有量</w:t>
      </w:r>
      <w:r>
        <w:rPr>
          <w:rFonts w:hint="eastAsia" w:cs="仿宋_GB2312"/>
          <w:lang w:bidi="ar"/>
        </w:rPr>
        <w:t>8206.23公顷</w:t>
      </w:r>
      <w:r>
        <w:rPr>
          <w:rFonts w:hint="eastAsia" w:ascii="仿宋_GB2312" w:hAnsi="宋体"/>
          <w:szCs w:val="30"/>
        </w:rPr>
        <w:t>、永久基本农田</w:t>
      </w:r>
      <w:r>
        <w:rPr>
          <w:rFonts w:hint="eastAsia" w:cs="仿宋_GB2312"/>
          <w:lang w:bidi="ar"/>
        </w:rPr>
        <w:t>7738.57公顷。</w:t>
      </w:r>
    </w:p>
    <w:p w14:paraId="78AA7705">
      <w:pPr>
        <w:ind w:firstLine="640"/>
        <w:rPr>
          <w:lang w:bidi="ar"/>
        </w:rPr>
      </w:pPr>
      <w:r>
        <w:rPr>
          <w:lang w:bidi="ar"/>
        </w:rPr>
        <w:br w:type="page"/>
      </w:r>
    </w:p>
    <w:p w14:paraId="5F1AC296">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49" w:name="_Toc178165649"/>
      <w:bookmarkStart w:id="50" w:name="_Toc240028035"/>
      <w:r>
        <w:rPr>
          <w:rFonts w:hint="eastAsia" w:ascii="方正小标宋_GBK" w:hAnsi="方正小标宋_GBK" w:eastAsia="方正小标宋_GBK" w:cs="黑体"/>
          <w:b w:val="0"/>
          <w:sz w:val="36"/>
          <w:szCs w:val="36"/>
        </w:rPr>
        <w:t>第四章 国土空间格局</w:t>
      </w:r>
      <w:bookmarkEnd w:id="49"/>
      <w:bookmarkEnd w:id="50"/>
      <w:r>
        <w:rPr>
          <w:rFonts w:hint="eastAsia" w:ascii="方正小标宋_GBK" w:hAnsi="方正小标宋_GBK" w:eastAsia="方正小标宋_GBK" w:cs="黑体"/>
          <w:b w:val="0"/>
          <w:sz w:val="36"/>
          <w:szCs w:val="36"/>
        </w:rPr>
        <w:tab/>
      </w:r>
    </w:p>
    <w:p w14:paraId="2E6ABFB0">
      <w:pPr>
        <w:pStyle w:val="3"/>
        <w:widowControl/>
        <w:ind w:firstLine="0" w:firstLineChars="0"/>
        <w:rPr>
          <w:rFonts w:cs="黑体"/>
        </w:rPr>
      </w:pPr>
      <w:bookmarkStart w:id="51" w:name="_Toc178165650"/>
      <w:bookmarkStart w:id="52" w:name="_Toc240028036"/>
      <w:r>
        <w:rPr>
          <w:rFonts w:hint="eastAsia" w:cs="黑体"/>
        </w:rPr>
        <w:t>第一节</w:t>
      </w:r>
      <w:r>
        <w:t xml:space="preserve"> </w:t>
      </w:r>
      <w:r>
        <w:rPr>
          <w:rFonts w:hint="eastAsia" w:cs="黑体"/>
        </w:rPr>
        <w:t>落实三条控制线</w:t>
      </w:r>
      <w:bookmarkEnd w:id="51"/>
      <w:bookmarkEnd w:id="52"/>
    </w:p>
    <w:p w14:paraId="615B8F54">
      <w:pPr>
        <w:ind w:firstLine="640"/>
        <w:rPr>
          <w:rFonts w:cs="仿宋_GB2312"/>
          <w:lang w:bidi="ar"/>
        </w:rPr>
      </w:pPr>
      <w:r>
        <w:rPr>
          <w:rFonts w:hint="eastAsia" w:cs="仿宋_GB2312"/>
          <w:lang w:bidi="ar"/>
        </w:rPr>
        <w:t>依据《绥棱县国土空间总体规划（2021—2035年）》，到2035年，后头乡耕地保有量为8206.23公顷，永久基本农田为7738.57公顷，无城镇开发边界和生态保护红线。</w:t>
      </w:r>
    </w:p>
    <w:p w14:paraId="6FDF6756">
      <w:pPr>
        <w:pStyle w:val="25"/>
        <w:widowControl/>
        <w:numPr>
          <w:ilvl w:val="0"/>
          <w:numId w:val="2"/>
        </w:numPr>
        <w:spacing w:before="312" w:beforeLines="100" w:after="156" w:afterLines="50"/>
        <w:ind w:left="0" w:firstLine="0" w:firstLineChars="0"/>
        <w:rPr>
          <w:rFonts w:ascii="Times New Roman" w:hAnsi="Times New Roman" w:eastAsia="仿宋_GB2312" w:cs="仿宋_GB2312"/>
          <w:szCs w:val="32"/>
          <w:lang w:bidi="ar"/>
        </w:rPr>
      </w:pPr>
      <w:r>
        <w:rPr>
          <w:rFonts w:hint="eastAsia" w:ascii="楷体" w:hAnsi="楷体" w:eastAsia="仿宋_GB2312" w:cs="黑体"/>
          <w:szCs w:val="32"/>
          <w:lang w:bidi="ar"/>
        </w:rPr>
        <w:t>耕地和永久基本农田保护红线</w:t>
      </w:r>
    </w:p>
    <w:p w14:paraId="69A7EB3D">
      <w:pPr>
        <w:ind w:firstLine="640"/>
        <w:rPr>
          <w:rFonts w:ascii="仿宋_GB2312" w:cs="仿宋_GB2312"/>
          <w:u w:val="single"/>
        </w:rPr>
      </w:pPr>
      <w:r>
        <w:rPr>
          <w:rFonts w:hint="eastAsia" w:ascii="仿宋_GB2312" w:cs="仿宋_GB2312"/>
          <w:lang w:bidi="ar"/>
        </w:rPr>
        <w:t>依据《绥棱县国土空间总体规划（2021—2035年）》，</w:t>
      </w:r>
      <w:r>
        <w:rPr>
          <w:rFonts w:hint="eastAsia" w:ascii="仿宋_GB2312" w:cs="仿宋_GB2312"/>
          <w:u w:val="single"/>
          <w:lang w:bidi="ar"/>
        </w:rPr>
        <w:t>到2035年，后头乡耕地保有量为8206.23公顷（</w:t>
      </w:r>
      <w:r>
        <w:rPr>
          <w:u w:val="single"/>
        </w:rPr>
        <w:t>123093.48</w:t>
      </w:r>
      <w:r>
        <w:rPr>
          <w:rFonts w:hint="eastAsia" w:ascii="仿宋_GB2312" w:cs="仿宋_GB2312"/>
          <w:u w:val="single"/>
          <w:lang w:bidi="ar"/>
        </w:rPr>
        <w:t>亩）；永久基本农田为7738.57公顷（</w:t>
      </w:r>
      <w:r>
        <w:rPr>
          <w:u w:val="single"/>
        </w:rPr>
        <w:t>116078.58</w:t>
      </w:r>
      <w:r>
        <w:rPr>
          <w:rFonts w:hint="eastAsia" w:ascii="仿宋_GB2312" w:cs="仿宋_GB2312"/>
          <w:u w:val="single"/>
          <w:lang w:bidi="ar"/>
        </w:rPr>
        <w:t>亩）。</w:t>
      </w:r>
    </w:p>
    <w:p w14:paraId="22B6225B">
      <w:pPr>
        <w:ind w:firstLine="640"/>
        <w:rPr>
          <w:rFonts w:cs="仿宋_GB2312"/>
          <w:lang w:bidi="ar"/>
        </w:rPr>
      </w:pPr>
      <w:r>
        <w:rPr>
          <w:rFonts w:hint="eastAsia" w:cs="仿宋_GB2312"/>
          <w:lang w:bidi="ar"/>
        </w:rPr>
        <w:t>严守耕地和永久基本农田保护红线。</w:t>
      </w:r>
      <w:r>
        <w:rPr>
          <w:rFonts w:hint="eastAsia" w:ascii="仿宋_GB2312" w:cs="仿宋_GB2312"/>
          <w:lang w:bidi="ar"/>
        </w:rPr>
        <w:t>落实最严格的耕地保护制度，制止耕地“非农化”，防止耕地“非粮化”。</w:t>
      </w:r>
      <w:r>
        <w:rPr>
          <w:rFonts w:hint="eastAsia" w:cs="仿宋_GB2312"/>
          <w:lang w:bidi="ar"/>
        </w:rPr>
        <w:t>耕地和永久基本农田红线一经划定，未经批准不得擅自调整。优先保护永久基本农田和优质耕地，严格实施耕地用途管制。符合法定条件的国家能源、交通、水利、军事设施等重大建设项目选址确实难以避让永久基本农田的，必须充分论证其必要性和合理性，并严格履行审批程序。</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7200"/>
      </w:tblGrid>
      <w:tr w14:paraId="7D6B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96" w:type="dxa"/>
            <w:gridSpan w:val="2"/>
          </w:tcPr>
          <w:p w14:paraId="4C582827">
            <w:pPr>
              <w:pStyle w:val="33"/>
              <w:spacing w:before="156"/>
              <w:ind w:firstLine="0" w:firstLineChars="0"/>
              <w:jc w:val="center"/>
              <w:rPr>
                <w:rFonts w:ascii="Calibri" w:hAnsi="Calibri"/>
              </w:rPr>
            </w:pPr>
            <w:r>
              <w:rPr>
                <w:rFonts w:ascii="Calibri" w:hAnsi="Calibri"/>
              </w:rPr>
              <w:t>专栏1 耕地和永久基本农田保护红线管理规则</w:t>
            </w:r>
          </w:p>
        </w:tc>
      </w:tr>
      <w:tr w14:paraId="2709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987FD77">
            <w:pPr>
              <w:pStyle w:val="32"/>
              <w:ind w:firstLine="480"/>
              <w:rPr>
                <w:rFonts w:hint="default" w:ascii="Times New Roman"/>
                <w:color w:val="00B0F0"/>
              </w:rPr>
            </w:pPr>
            <w:r>
              <w:rPr>
                <w:rFonts w:ascii="Times New Roman"/>
                <w:color w:val="auto"/>
                <w:sz w:val="24"/>
                <w:szCs w:val="21"/>
              </w:rPr>
              <w:t>耕地</w:t>
            </w:r>
          </w:p>
        </w:tc>
        <w:tc>
          <w:tcPr>
            <w:tcW w:w="7592" w:type="dxa"/>
          </w:tcPr>
          <w:p w14:paraId="3CE19B1A">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对耕地实施特殊保护，严守耕地保护红线，严格控制耕地转为林地、草地、园地等其他农用地，并建立耕地保护补偿制度。</w:t>
            </w:r>
          </w:p>
          <w:p w14:paraId="159D170A">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镇政府应当严格执行国土空间规划和土地利用年度计划，采取措施，确保本行政区域内耕地总量不减少、质量不降低。耕地总量减少的，由上一级人民政府责令在规定期限内组织开垦与所减少耕地的数量和质量相当的耕地，本行政区域内不具备开垦条件的，按照有关耕地易地占补平衡的规定执行；耕地质量降低的，由上一级人民政府责令在规定期限内组织整治。新开垦和整治的耕地，由上一级人民政府自然资源主管部门会同同级农业农村主管部门验收。</w:t>
            </w:r>
          </w:p>
          <w:p w14:paraId="0A2C30B0">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将非农建设、造林种树、种果种茶等各类占用耕地行为统一纳入耕地占补平衡管理。除国家安排的生态退耕、自然灾害损毁难以复耕、河湖水面自然扩大造成耕地永久淹没及国家规定的其他可不落实补充耕地的情形外，各类占用耕地行为导致耕地减少的，均应落实耕地占补平衡，补充与所占用耕地数量和质量相当的耕地。</w:t>
            </w:r>
          </w:p>
          <w:p w14:paraId="09786001">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对非农建设占用耕地，要严格用地审批，严格执行土地使用标准，切实做到不占或少占耕地。规范有序实施耕地转为园地、林地、草地等其他农用地，科学合理安排造林绿化任务，严格控制占用耕地规模，可以利用荒地的，不得占用耕地；可以利用劣地的，不得占用好地。禁止占用耕地建窑、建坟或者擅自在耕地上建房、挖砂、采石、采矿、取土等。</w:t>
            </w:r>
          </w:p>
          <w:p w14:paraId="3B903C46">
            <w:pPr>
              <w:pStyle w:val="30"/>
              <w:spacing w:line="500" w:lineRule="exact"/>
              <w:ind w:firstLine="482" w:firstLineChars="0"/>
              <w:rPr>
                <w:rFonts w:ascii="Calibri" w:hAnsi="Calibri"/>
                <w:color w:val="auto"/>
                <w:sz w:val="24"/>
                <w:szCs w:val="21"/>
              </w:rPr>
            </w:pPr>
            <w:r>
              <w:rPr>
                <w:rFonts w:hint="eastAsia" w:ascii="Calibri" w:hAnsi="Calibri" w:eastAsia="仿宋_GB2312"/>
                <w:color w:val="auto"/>
                <w:sz w:val="24"/>
                <w:szCs w:val="21"/>
              </w:rPr>
              <w:t>农用地转用项目新增建设用地占用的耕地、临时用地占用的耕地、设施农业用地涉及破坏耕作层的耕地，在项目建设占用前应实施耕作层土壤剥离利用。剥离的土壤优先用于土地整治、高标准农田建设、工矿废弃地复垦、生态修复等项目，以及新开垦耕地、劣质地或者其他耕地的土壤改良等农业生产生活，富余土壤可以用于绿化</w:t>
            </w:r>
            <w:r>
              <w:rPr>
                <w:rFonts w:ascii="Calibri" w:hAnsi="Calibri" w:eastAsia="仿宋_GB2312"/>
                <w:color w:val="auto"/>
                <w:sz w:val="24"/>
                <w:szCs w:val="21"/>
              </w:rPr>
              <w:t>。</w:t>
            </w:r>
          </w:p>
          <w:p w14:paraId="13722BB6">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黑龙江省的规定缴纳闲置费；连续两年未使用的，经原批准机关批准，由县级以上政府无偿收回用地单位的土地使用权，该幅土地原为农民集体所有的，应当交由原农村集体经济组织恢复耕种。</w:t>
            </w:r>
          </w:p>
          <w:p w14:paraId="0D56F97D">
            <w:pPr>
              <w:pStyle w:val="30"/>
              <w:spacing w:line="500" w:lineRule="exact"/>
              <w:ind w:firstLine="482" w:firstLineChars="0"/>
              <w:rPr>
                <w:rFonts w:ascii="Calibri" w:hAnsi="Calibri"/>
                <w:color w:val="auto"/>
              </w:rPr>
            </w:pPr>
            <w:r>
              <w:rPr>
                <w:rFonts w:hint="eastAsia" w:ascii="Calibri" w:hAnsi="Calibri" w:eastAsia="仿宋_GB2312"/>
                <w:color w:val="auto"/>
                <w:sz w:val="24"/>
                <w:szCs w:val="21"/>
              </w:rPr>
              <w:t>禁止任何单位和个人在国土空间规划确定的禁止开垦的范围内从事土地开发活动</w:t>
            </w:r>
            <w:r>
              <w:rPr>
                <w:rFonts w:ascii="Calibri" w:hAnsi="Calibri" w:eastAsia="仿宋_GB2312"/>
                <w:color w:val="auto"/>
                <w:sz w:val="24"/>
                <w:szCs w:val="21"/>
              </w:rPr>
              <w:t>。</w:t>
            </w:r>
          </w:p>
        </w:tc>
      </w:tr>
      <w:tr w14:paraId="6355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3" w:hRule="atLeast"/>
        </w:trPr>
        <w:tc>
          <w:tcPr>
            <w:tcW w:w="704" w:type="dxa"/>
            <w:vAlign w:val="center"/>
          </w:tcPr>
          <w:p w14:paraId="07936F19">
            <w:pPr>
              <w:pStyle w:val="32"/>
              <w:ind w:firstLine="0" w:firstLineChars="0"/>
              <w:rPr>
                <w:rFonts w:hint="default" w:ascii="Times New Roman"/>
                <w:color w:val="00B0F0"/>
              </w:rPr>
            </w:pPr>
            <w:r>
              <w:rPr>
                <w:rFonts w:ascii="Times New Roman"/>
                <w:color w:val="auto"/>
                <w:sz w:val="24"/>
                <w:szCs w:val="21"/>
              </w:rPr>
              <w:t>永久基本农田</w:t>
            </w:r>
          </w:p>
        </w:tc>
        <w:tc>
          <w:tcPr>
            <w:tcW w:w="7592" w:type="dxa"/>
            <w:vAlign w:val="center"/>
          </w:tcPr>
          <w:p w14:paraId="546065B1">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永久基本农田不得转为林地、草地、园地等其他农用地及农业设施建设用地。严禁占用永久基本农田发展林果业和挖塘养鱼；严禁占用永久基本农田种植苗木、草皮等用于绿化装饰以及其他破坏耕作层的植物；严禁占用永久基本农田挖湖造景、建设绿化带；严禁新增占用永久基本农田建设畜禽养殖设施、水产养殖设施和破坏耕作层的种植业设施。</w:t>
            </w:r>
          </w:p>
          <w:p w14:paraId="68B74A1D">
            <w:pPr>
              <w:pStyle w:val="30"/>
              <w:spacing w:line="500" w:lineRule="exact"/>
              <w:ind w:firstLine="482" w:firstLineChars="0"/>
              <w:rPr>
                <w:rFonts w:ascii="Calibri" w:hAnsi="Calibri" w:eastAsia="仿宋_GB2312"/>
                <w:color w:val="auto"/>
                <w:sz w:val="24"/>
                <w:szCs w:val="21"/>
              </w:rPr>
            </w:pPr>
            <w:r>
              <w:rPr>
                <w:rFonts w:hint="eastAsia" w:ascii="Calibri" w:hAnsi="Calibri" w:eastAsia="仿宋_GB2312"/>
                <w:color w:val="auto"/>
                <w:sz w:val="24"/>
                <w:szCs w:val="21"/>
              </w:rPr>
              <w:t>严格永久基本农田占用和补划。永久基本农田经依法划定后，任何单位和个人不得擅自占用或者改变其用途。国家能源、交通、水利、军事设施等重点项目选址确实难以避让永久基本农田的，涉及农用地转用或者土地征收的，必须经过国务院批准。</w:t>
            </w:r>
          </w:p>
          <w:p w14:paraId="67083165">
            <w:pPr>
              <w:pStyle w:val="30"/>
              <w:spacing w:line="500" w:lineRule="exact"/>
              <w:ind w:firstLine="482" w:firstLineChars="0"/>
              <w:rPr>
                <w:rFonts w:ascii="Calibri" w:hAnsi="Calibri"/>
                <w:color w:val="auto"/>
                <w:sz w:val="24"/>
                <w:szCs w:val="21"/>
              </w:rPr>
            </w:pPr>
            <w:r>
              <w:rPr>
                <w:rFonts w:hint="eastAsia" w:ascii="Calibri" w:hAnsi="Calibri" w:eastAsia="仿宋_GB2312"/>
                <w:color w:val="auto"/>
                <w:sz w:val="24"/>
                <w:szCs w:val="21"/>
              </w:rPr>
              <w:t>对经依法批准占用永久基本农田的建设项目，耕地开垦费缴费标准按照当地耕地开垦费最高标准的两倍执行</w:t>
            </w:r>
            <w:r>
              <w:rPr>
                <w:rFonts w:ascii="Calibri" w:hAnsi="Calibri" w:eastAsia="仿宋_GB2312"/>
                <w:color w:val="auto"/>
                <w:sz w:val="24"/>
                <w:szCs w:val="21"/>
              </w:rPr>
              <w:t>。</w:t>
            </w:r>
          </w:p>
        </w:tc>
      </w:tr>
    </w:tbl>
    <w:p w14:paraId="669F3936">
      <w:pPr>
        <w:ind w:firstLine="643"/>
        <w:rPr>
          <w:b/>
        </w:rPr>
      </w:pPr>
    </w:p>
    <w:p w14:paraId="3B474A1E">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生态保护红线</w:t>
      </w:r>
    </w:p>
    <w:p w14:paraId="7F825235">
      <w:pPr>
        <w:ind w:firstLine="640"/>
      </w:pPr>
      <w:r>
        <w:rPr>
          <w:rFonts w:hint="eastAsia"/>
        </w:rPr>
        <w:t>至2035年，后头乡未划定生态保护红线。</w:t>
      </w:r>
    </w:p>
    <w:p w14:paraId="421D2934">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城镇开发边界</w:t>
      </w:r>
      <w:r>
        <w:rPr>
          <w:rFonts w:hint="eastAsia" w:ascii="楷体" w:hAnsi="楷体" w:eastAsia="仿宋_GB2312" w:cs="黑体"/>
          <w:szCs w:val="32"/>
          <w:lang w:bidi="ar"/>
        </w:rPr>
        <w:tab/>
      </w:r>
    </w:p>
    <w:p w14:paraId="12A913B9">
      <w:pPr>
        <w:ind w:firstLine="640"/>
      </w:pPr>
      <w:r>
        <w:rPr>
          <w:rFonts w:hint="eastAsia"/>
        </w:rPr>
        <w:t>至2035年，后头乡未划定城镇开发边界。</w:t>
      </w:r>
    </w:p>
    <w:p w14:paraId="058F760D">
      <w:pPr>
        <w:pStyle w:val="3"/>
        <w:widowControl/>
        <w:ind w:firstLine="0" w:firstLineChars="0"/>
      </w:pPr>
      <w:bookmarkStart w:id="53" w:name="_Toc153976287"/>
      <w:bookmarkStart w:id="54" w:name="_Toc240028037"/>
      <w:bookmarkStart w:id="55" w:name="_Toc178165652"/>
      <w:r>
        <w:rPr>
          <w:rFonts w:hint="eastAsia" w:cs="黑体"/>
        </w:rPr>
        <w:t>第二节</w:t>
      </w:r>
      <w:r>
        <w:t xml:space="preserve"> </w:t>
      </w:r>
      <w:bookmarkEnd w:id="53"/>
      <w:r>
        <w:rPr>
          <w:rFonts w:hint="eastAsia" w:cs="黑体"/>
        </w:rPr>
        <w:t>落实主体功能区</w:t>
      </w:r>
      <w:bookmarkEnd w:id="54"/>
      <w:bookmarkEnd w:id="55"/>
    </w:p>
    <w:p w14:paraId="775EA209">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落实主体功能区</w:t>
      </w:r>
    </w:p>
    <w:p w14:paraId="20C82AC4">
      <w:pPr>
        <w:ind w:firstLine="640"/>
      </w:pPr>
      <w:r>
        <w:rPr>
          <w:rFonts w:hint="eastAsia" w:ascii="仿宋" w:hAnsi="仿宋" w:cs="仿宋_GB2312"/>
          <w:lang w:bidi="ar"/>
        </w:rPr>
        <w:t>落实《绥棱县国土空间总体规划（</w:t>
      </w:r>
      <w:r>
        <w:rPr>
          <w:rFonts w:hint="eastAsia" w:ascii="仿宋" w:hAnsi="仿宋" w:cs="仿宋"/>
          <w:lang w:bidi="ar"/>
        </w:rPr>
        <w:t>2021—2035</w:t>
      </w:r>
      <w:r>
        <w:rPr>
          <w:rFonts w:hint="eastAsia" w:ascii="仿宋" w:hAnsi="仿宋" w:cs="仿宋_GB2312"/>
          <w:lang w:bidi="ar"/>
        </w:rPr>
        <w:t>年）》中提出后头乡为农产品主产区，</w:t>
      </w:r>
      <w:r>
        <w:rPr>
          <w:rFonts w:hint="eastAsia" w:cs="仿宋_GB2312"/>
          <w:lang w:bidi="ar"/>
        </w:rPr>
        <w:t>功能定位及要求：以提供农产品为主体功能，保障农产品供给安全的重要区域。是重要的商品粮生产基地、绿色食品生产基地、畜牧业生产基地和农产品深加工区、农业综合开发试验区、美丽乡村建设的示范区。</w:t>
      </w:r>
    </w:p>
    <w:p w14:paraId="45822FF3">
      <w:pPr>
        <w:pStyle w:val="3"/>
        <w:widowControl/>
        <w:ind w:firstLine="0" w:firstLineChars="0"/>
      </w:pPr>
      <w:bookmarkStart w:id="56" w:name="_Toc178165653"/>
      <w:bookmarkStart w:id="57" w:name="_Toc240028038"/>
      <w:r>
        <w:rPr>
          <w:rFonts w:hint="eastAsia" w:cs="黑体"/>
        </w:rPr>
        <w:t>第三节</w:t>
      </w:r>
      <w:r>
        <w:t xml:space="preserve"> </w:t>
      </w:r>
      <w:r>
        <w:rPr>
          <w:rFonts w:hint="eastAsia" w:cs="黑体"/>
        </w:rPr>
        <w:t>区域协调发展</w:t>
      </w:r>
      <w:bookmarkEnd w:id="56"/>
      <w:bookmarkEnd w:id="57"/>
    </w:p>
    <w:p w14:paraId="132ABFAC">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区域协调发展</w:t>
      </w:r>
    </w:p>
    <w:p w14:paraId="25AFA316">
      <w:pPr>
        <w:ind w:firstLine="640"/>
      </w:pPr>
      <w:r>
        <w:rPr>
          <w:rFonts w:hint="eastAsia" w:cs="仿宋_GB2312"/>
          <w:lang w:bidi="ar"/>
        </w:rPr>
        <w:t>加强区域联动协同，全面提升发展功能；依托</w:t>
      </w:r>
      <w:r>
        <w:rPr>
          <w:rFonts w:cs="Times New Roman"/>
          <w:lang w:bidi="ar"/>
        </w:rPr>
        <w:t>101</w:t>
      </w:r>
      <w:r>
        <w:rPr>
          <w:rFonts w:hint="eastAsia" w:cs="仿宋_GB2312"/>
          <w:lang w:bidi="ar"/>
        </w:rPr>
        <w:t>省道、</w:t>
      </w:r>
      <w:r>
        <w:rPr>
          <w:rFonts w:cs="Times New Roman"/>
          <w:lang w:bidi="ar"/>
        </w:rPr>
        <w:t>201</w:t>
      </w:r>
      <w:r>
        <w:rPr>
          <w:rFonts w:hint="eastAsia" w:cs="仿宋_GB2312"/>
          <w:lang w:bidi="ar"/>
        </w:rPr>
        <w:t>县道、</w:t>
      </w:r>
      <w:r>
        <w:rPr>
          <w:rFonts w:cs="Times New Roman"/>
          <w:lang w:bidi="ar"/>
        </w:rPr>
        <w:t>303</w:t>
      </w:r>
      <w:r>
        <w:rPr>
          <w:rFonts w:hint="eastAsia" w:cs="仿宋_GB2312"/>
          <w:lang w:bidi="ar"/>
        </w:rPr>
        <w:t>县道、滨北铁路等交通骨干路网，打造通达的综合交通网络，加强区域资源环境、综合交通、重大基础设施等支撑条件的共建共享，建立区域协调机制，积极推进努敏河和克音河各乡域生态保护和高质量协同发展，推动区域生态安全和经济社会可持续发展。加强后头乡与周边乡镇在资源保护利用、生态环境治理、产业互补协作等方面的区域协同发展。</w:t>
      </w:r>
    </w:p>
    <w:p w14:paraId="00C1961E">
      <w:pPr>
        <w:pStyle w:val="3"/>
        <w:widowControl/>
        <w:ind w:firstLine="0" w:firstLineChars="0"/>
      </w:pPr>
      <w:bookmarkStart w:id="58" w:name="_Toc178165654"/>
      <w:bookmarkStart w:id="59" w:name="_Toc240028039"/>
      <w:r>
        <w:rPr>
          <w:rFonts w:hint="eastAsia" w:cs="黑体"/>
        </w:rPr>
        <w:t>第四节</w:t>
      </w:r>
      <w:r>
        <w:t xml:space="preserve"> </w:t>
      </w:r>
      <w:r>
        <w:rPr>
          <w:rFonts w:hint="eastAsia" w:cs="黑体"/>
        </w:rPr>
        <w:t>总体空间格局</w:t>
      </w:r>
      <w:bookmarkEnd w:id="58"/>
      <w:bookmarkEnd w:id="59"/>
    </w:p>
    <w:p w14:paraId="5780853A">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国土空间保护与开发总体格局</w:t>
      </w:r>
    </w:p>
    <w:p w14:paraId="3E9760F7">
      <w:pPr>
        <w:ind w:firstLine="640"/>
      </w:pPr>
      <w:r>
        <w:rPr>
          <w:rFonts w:hint="eastAsia" w:cs="仿宋_GB2312"/>
          <w:lang w:bidi="ar"/>
        </w:rPr>
        <w:t>遵循自然地理格局和生态经济社会发展规律，重点保障粮食安全，统筹农业、生态和乡域空间，形成“一核三区三轴两廊”的国土空间开发保护格局。</w:t>
      </w:r>
    </w:p>
    <w:p w14:paraId="24CD5949">
      <w:pPr>
        <w:ind w:firstLine="640"/>
      </w:pPr>
      <w:r>
        <w:rPr>
          <w:rFonts w:hint="eastAsia" w:cs="仿宋_GB2312"/>
          <w:lang w:bidi="ar"/>
        </w:rPr>
        <w:t>“一核”是指后头乡政府驻地，强化乡域人口、产业空间集聚，打造后头乡全域发展核心。</w:t>
      </w:r>
    </w:p>
    <w:p w14:paraId="4E698600">
      <w:pPr>
        <w:ind w:firstLine="640"/>
      </w:pPr>
      <w:r>
        <w:rPr>
          <w:rFonts w:hint="eastAsia" w:cs="仿宋_GB2312"/>
          <w:lang w:bidi="ar"/>
        </w:rPr>
        <w:t>“三区”是指玉米种植区、综合种植区、蔬菜种植区三区联动，向外对接绥化。</w:t>
      </w:r>
    </w:p>
    <w:p w14:paraId="771A7195">
      <w:pPr>
        <w:ind w:firstLine="640"/>
      </w:pPr>
      <w:r>
        <w:rPr>
          <w:rFonts w:hint="eastAsia" w:cs="仿宋_GB2312"/>
          <w:lang w:bidi="ar"/>
        </w:rPr>
        <w:t>“三轴”是指以</w:t>
      </w:r>
      <w:r>
        <w:rPr>
          <w:rFonts w:cs="Times New Roman"/>
          <w:lang w:bidi="ar"/>
        </w:rPr>
        <w:t>101</w:t>
      </w:r>
      <w:r>
        <w:rPr>
          <w:rFonts w:hint="eastAsia" w:cs="仿宋_GB2312"/>
          <w:lang w:bidi="ar"/>
        </w:rPr>
        <w:t>省道、</w:t>
      </w:r>
      <w:r>
        <w:rPr>
          <w:rFonts w:cs="Times New Roman"/>
          <w:lang w:bidi="ar"/>
        </w:rPr>
        <w:t>303</w:t>
      </w:r>
      <w:r>
        <w:rPr>
          <w:rFonts w:hint="eastAsia" w:cs="仿宋_GB2312"/>
          <w:lang w:bidi="ar"/>
        </w:rPr>
        <w:t>县道、</w:t>
      </w:r>
      <w:r>
        <w:rPr>
          <w:rFonts w:cs="Times New Roman"/>
          <w:lang w:bidi="ar"/>
        </w:rPr>
        <w:t>201</w:t>
      </w:r>
      <w:r>
        <w:rPr>
          <w:rFonts w:hint="eastAsia" w:cs="仿宋_GB2312"/>
          <w:lang w:bidi="ar"/>
        </w:rPr>
        <w:t>县道为发展骨架。</w:t>
      </w:r>
    </w:p>
    <w:p w14:paraId="439B119B">
      <w:pPr>
        <w:widowControl/>
        <w:ind w:firstLine="640"/>
      </w:pPr>
      <w:r>
        <w:rPr>
          <w:rFonts w:hint="eastAsia" w:cs="Times New Roman"/>
          <w:lang w:bidi="ar"/>
        </w:rPr>
        <w:t>“两廊”是指以克音河和努敏河为主的水系生态廊道，推进综合治理，提升水生态环境质量。</w:t>
      </w:r>
    </w:p>
    <w:p w14:paraId="2F4DCFC2">
      <w:pPr>
        <w:pStyle w:val="3"/>
        <w:widowControl/>
        <w:ind w:firstLine="0" w:firstLineChars="0"/>
      </w:pPr>
      <w:bookmarkStart w:id="60" w:name="_Toc153976290"/>
      <w:bookmarkStart w:id="61" w:name="_Toc178165655"/>
      <w:bookmarkStart w:id="62" w:name="_Toc240028040"/>
      <w:r>
        <w:rPr>
          <w:rFonts w:hint="eastAsia" w:cs="黑体"/>
        </w:rPr>
        <w:t>第五节</w:t>
      </w:r>
      <w:r>
        <w:t xml:space="preserve"> </w:t>
      </w:r>
      <w:bookmarkEnd w:id="60"/>
      <w:r>
        <w:rPr>
          <w:rFonts w:hint="eastAsia" w:cs="黑体"/>
        </w:rPr>
        <w:t>规划分区</w:t>
      </w:r>
      <w:bookmarkEnd w:id="61"/>
      <w:bookmarkEnd w:id="62"/>
    </w:p>
    <w:p w14:paraId="7E281255">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国土空间规划分区</w:t>
      </w:r>
    </w:p>
    <w:p w14:paraId="1216B923">
      <w:pPr>
        <w:ind w:firstLine="640"/>
        <w:rPr>
          <w:rFonts w:cs="仿宋_GB2312"/>
          <w:lang w:bidi="ar"/>
        </w:rPr>
      </w:pPr>
      <w:r>
        <w:rPr>
          <w:rFonts w:hint="eastAsia" w:ascii="仿宋_GB2312" w:hAnsi="楷体" w:cs="仿宋_GB2312"/>
          <w:lang w:bidi="ar"/>
        </w:rPr>
        <w:t>加强底线管控、全域统筹的思路，将后头乡域划分为农田保护区、生态控制区和乡村发展区三类规划一级分区。建立各类规划分区的国土用途管控目标、空间布局和管控规则，提升国</w:t>
      </w:r>
      <w:r>
        <w:rPr>
          <w:rFonts w:hint="eastAsia" w:cs="仿宋_GB2312"/>
          <w:lang w:bidi="ar"/>
        </w:rPr>
        <w:t>土空间开发保护质量和效益。</w:t>
      </w:r>
    </w:p>
    <w:p w14:paraId="7ED21966">
      <w:pPr>
        <w:ind w:firstLine="640"/>
        <w:rPr>
          <w:rFonts w:cs="仿宋_GB2312"/>
          <w:lang w:bidi="ar"/>
        </w:rPr>
      </w:pPr>
      <w:r>
        <w:rPr>
          <w:rFonts w:hint="eastAsia" w:cs="仿宋_GB2312"/>
          <w:lang w:bidi="ar"/>
        </w:rPr>
        <w:t>农田保护区。将永久基本农田相对集中需严格保护的区域划定为农田保护区。农田保护区内从严管控非农建设活动，严禁非农化和非粮化，鼓励开展高标准农田建设和土地整治，提高永久基本农田质量，完善区域内农业基础设施水平。</w:t>
      </w:r>
    </w:p>
    <w:p w14:paraId="0ACC39E7">
      <w:pPr>
        <w:ind w:firstLine="640"/>
        <w:rPr>
          <w:rFonts w:cs="仿宋_GB2312"/>
          <w:lang w:bidi="ar"/>
        </w:rPr>
      </w:pPr>
      <w:r>
        <w:rPr>
          <w:rFonts w:hint="eastAsia" w:cs="仿宋_GB2312"/>
          <w:lang w:bidi="ar"/>
        </w:rPr>
        <w:t>生态控制区。将生态保护红线外需要予以保留原貌、强化生态保育和生态建设、限制开发建设区域划定为生态控制区。</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06F3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268A8E0">
            <w:pPr>
              <w:pStyle w:val="33"/>
              <w:spacing w:before="156"/>
              <w:ind w:firstLine="0" w:firstLineChars="0"/>
              <w:jc w:val="center"/>
              <w:rPr>
                <w:rFonts w:ascii="Calibri" w:hAnsi="黑体"/>
              </w:rPr>
            </w:pPr>
            <w:r>
              <w:rPr>
                <w:rFonts w:hint="eastAsia" w:ascii="Calibri" w:hAnsi="Calibri"/>
              </w:rPr>
              <w:t>专栏2：生态控制区管理要求</w:t>
            </w:r>
          </w:p>
        </w:tc>
      </w:tr>
      <w:tr w14:paraId="76F4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A02BA6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原则上应予以保留原貌、强化生态保育和生态建设、限制开发建设。在不降低生态功能、不破坏生态系统且符合空间准入、强度控制和风貌管控要求的前提下，可进行适度的开发利用和结构布局调整。</w:t>
            </w:r>
          </w:p>
          <w:p w14:paraId="566C89B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森林生态控制区按照《林地保护等级及保护管理措施》Ⅱ级林地的要求进行管控。</w:t>
            </w:r>
          </w:p>
          <w:p w14:paraId="11B4B4CB">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湿地生态控制区按照《湿地保护管理规定》的规定进行管控。</w:t>
            </w:r>
          </w:p>
          <w:p w14:paraId="121757A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1.用途准入</w:t>
            </w:r>
          </w:p>
          <w:p w14:paraId="2EB346D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鼓励实施生态修复工程，提升生态功能。限制农业开发占用生态控制区，经评估有利于提升生态功能的，可依据国土空间规划或其他相关规划开展土地整治新增耕地。</w:t>
            </w:r>
          </w:p>
          <w:p w14:paraId="5F29887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严控新增建设占用生态控制区，建设用途准入应符合国土空间规划和其他相关规划。</w:t>
            </w:r>
          </w:p>
          <w:p w14:paraId="4687D323">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符合区域功能定位的旅游服务设施、道路交通基础设施、水利市政基础设施、公益性设施以及其他必要的特殊设施建设必须占用的，需做好选址论证，严格控制建筑规模与开发强度。</w:t>
            </w:r>
          </w:p>
          <w:p w14:paraId="22B16192">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2.用途退出</w:t>
            </w:r>
          </w:p>
          <w:p w14:paraId="669A5CD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生态控制区内原有的各种不符合生态保护要求、防洪安全的生产、开发活动应当逐步退出，并进行生态修复。</w:t>
            </w:r>
          </w:p>
          <w:p w14:paraId="141D95F3">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坡度25度以上已经开垦种植的耕地要逐步还林。</w:t>
            </w:r>
          </w:p>
          <w:p w14:paraId="0FF523E9">
            <w:pPr>
              <w:pStyle w:val="30"/>
              <w:spacing w:line="500" w:lineRule="exact"/>
              <w:ind w:firstLine="480"/>
              <w:rPr>
                <w:rFonts w:ascii="Calibri" w:hAnsi="Calibri"/>
                <w:color w:val="auto"/>
              </w:rPr>
            </w:pPr>
            <w:r>
              <w:rPr>
                <w:rFonts w:hint="eastAsia" w:ascii="Calibri" w:hAnsi="Calibri" w:eastAsia="仿宋_GB2312"/>
                <w:color w:val="auto"/>
                <w:sz w:val="24"/>
                <w:szCs w:val="21"/>
              </w:rPr>
              <w:t>对于历史形成的合法现状建设用地，经评估对生态环境无影响的，可予以保留，但不得随意改变用途或进行改扩建。</w:t>
            </w:r>
          </w:p>
        </w:tc>
      </w:tr>
    </w:tbl>
    <w:p w14:paraId="18834F17">
      <w:pPr>
        <w:pStyle w:val="12"/>
        <w:spacing w:before="312" w:beforeLines="100" w:after="156" w:afterLines="50"/>
        <w:ind w:firstLine="640"/>
        <w:jc w:val="left"/>
        <w:rPr>
          <w:rFonts w:cs="仿宋_GB2312"/>
          <w:sz w:val="32"/>
          <w:lang w:bidi="ar"/>
        </w:rPr>
      </w:pPr>
      <w:r>
        <w:rPr>
          <w:rFonts w:hint="eastAsia" w:cs="仿宋_GB2312"/>
          <w:sz w:val="32"/>
          <w:lang w:bidi="ar"/>
        </w:rPr>
        <w:t>乡村发展区。乡村发展区为农田保护区外，为满足农林牧渔等农业发展以及农民集中生活和生产配套为主的区域。</w:t>
      </w:r>
    </w:p>
    <w:tbl>
      <w:tblPr>
        <w:tblStyle w:val="14"/>
        <w:tblpPr w:leftFromText="180" w:rightFromText="180" w:vertAnchor="text" w:horzAnchor="margin" w:tblpY="15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6F8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5BDA3DA">
            <w:pPr>
              <w:pStyle w:val="33"/>
              <w:spacing w:before="156"/>
              <w:ind w:firstLine="0" w:firstLineChars="0"/>
              <w:jc w:val="center"/>
              <w:rPr>
                <w:rFonts w:ascii="Calibri" w:hAnsi="黑体"/>
              </w:rPr>
            </w:pPr>
            <w:bookmarkStart w:id="63" w:name="_Hlk134988932"/>
            <w:r>
              <w:rPr>
                <w:rFonts w:hint="eastAsia" w:ascii="Calibri" w:hAnsi="Calibri"/>
              </w:rPr>
              <w:t>专栏</w:t>
            </w:r>
            <w:r>
              <w:rPr>
                <w:rFonts w:ascii="Calibri" w:hAnsi="Calibri"/>
              </w:rPr>
              <w:t>3</w:t>
            </w:r>
            <w:r>
              <w:rPr>
                <w:rFonts w:hint="eastAsia" w:ascii="Calibri" w:hAnsi="Calibri"/>
              </w:rPr>
              <w:t>：一般农业区管理要求</w:t>
            </w:r>
          </w:p>
        </w:tc>
      </w:tr>
      <w:tr w14:paraId="3FA4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54E3C946">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一般农业区中的耕地按照《中华人民共和国土地管理法》《中华人民共和国土地管理法实施条例》《关于坚决制止耕地“非农化”防止耕地“非粮化”稳定发展粮食生产的意见》等法律法规、文件的要求进行管控。</w:t>
            </w:r>
          </w:p>
          <w:p w14:paraId="28D17473">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1.用途准入</w:t>
            </w:r>
          </w:p>
          <w:p w14:paraId="00C90531">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严格管控一般耕地转为其他农用地。一般耕地主要用于粮食和棉、油、糖、蔬菜等农产品及饲草饲料生产；在不破坏耕地耕作层且不造成耕地地类改变的前提下，可以适度种植其他农作物。</w:t>
            </w:r>
          </w:p>
          <w:p w14:paraId="6ADCEF49">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一般农业区允许农业设施建设用地准入，不需落实占补平衡，使用后必须恢复原用途。严格控制农业设施建设用地转化为非农建设用地。</w:t>
            </w:r>
          </w:p>
          <w:p w14:paraId="51B372F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确需在耕地上建设农田防护林的，应当符合农田防护林建设相关标准。建成后，达到国土调查分类标准并变更为林地的，应当从耕地面积中扣除。</w:t>
            </w:r>
          </w:p>
          <w:p w14:paraId="21EB2AE1">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严格控制新增农村道路、畜禽养殖设施、水产养殖设施和破坏耕作层的种植业设施等农业设施建设用地使用一般耕地。确需使用的，应经批准并符合相关标准。</w:t>
            </w:r>
          </w:p>
          <w:p w14:paraId="6045D171">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一般农业区允许准入利用农村本地资源发展休闲观光、农业生产等产业而必需的配套设施建设。</w:t>
            </w:r>
          </w:p>
          <w:p w14:paraId="45E67684">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2.用途管制</w:t>
            </w:r>
          </w:p>
          <w:p w14:paraId="513E7BB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按照《关于严格耕地用途管制有关问题的通知》自然资发〔2021〕166号的规定，不得进行以下活动。</w:t>
            </w:r>
          </w:p>
          <w:p w14:paraId="3F2B387E">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不得在一般耕地上挖湖造景、种植草皮。</w:t>
            </w:r>
          </w:p>
          <w:p w14:paraId="3F6D3B1B">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不得在国家批准的生态退耕规划和计划外擅自扩大退耕还林还草还湿还湖规模。经批准实施的，应当在“三调”底图和年度国土变更调查结果上，明确实施位置，带位置下达退耕任务。</w:t>
            </w:r>
          </w:p>
          <w:p w14:paraId="1CA2B7FF">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不得违规超标准在铁路、公路等用地红线外，以及河渠两侧、水库周边占用一般耕地种树建设绿化带。</w:t>
            </w:r>
          </w:p>
          <w:p w14:paraId="309849F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未经批准不得占用一般耕地实施国土绿化。经批准实施的，应当在“三调”底图和年度国土变更调查结果上明确实施位置。</w:t>
            </w:r>
          </w:p>
          <w:p w14:paraId="22B4E52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未经批准工商企业等社会资本不得将通过流转获得土地经营权的一般耕地转为林地、园地等其他农用地。</w:t>
            </w:r>
          </w:p>
        </w:tc>
      </w:tr>
      <w:bookmarkEnd w:id="63"/>
    </w:tbl>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942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9D3986F">
            <w:pPr>
              <w:pStyle w:val="33"/>
              <w:spacing w:before="156"/>
              <w:ind w:firstLine="0" w:firstLineChars="0"/>
              <w:jc w:val="center"/>
              <w:rPr>
                <w:rFonts w:ascii="Calibri" w:hAnsi="黑体"/>
              </w:rPr>
            </w:pPr>
            <w:bookmarkStart w:id="64" w:name="_Hlk134988997"/>
            <w:r>
              <w:rPr>
                <w:rFonts w:hint="eastAsia" w:ascii="Calibri" w:hAnsi="Calibri"/>
              </w:rPr>
              <w:t>专栏</w:t>
            </w:r>
            <w:r>
              <w:rPr>
                <w:rFonts w:ascii="Calibri" w:hAnsi="Calibri"/>
              </w:rPr>
              <w:t>4</w:t>
            </w:r>
            <w:r>
              <w:rPr>
                <w:rFonts w:hint="eastAsia" w:ascii="Calibri" w:hAnsi="Calibri"/>
              </w:rPr>
              <w:t>：林业发展区管理要求</w:t>
            </w:r>
          </w:p>
        </w:tc>
      </w:tr>
      <w:tr w14:paraId="5516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468A4400">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林业发展区内的林地根据林地种类按照《林地保护等级及保护管理措施》Ⅲ级林地、Ⅳ级林地的要求进行管控。</w:t>
            </w:r>
          </w:p>
          <w:p w14:paraId="507127DC">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1.用途准入</w:t>
            </w:r>
          </w:p>
          <w:p w14:paraId="1D568ABA">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鼓励实施生态修复工程，提升生态环境质量。</w:t>
            </w:r>
          </w:p>
          <w:p w14:paraId="7091DDB7">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除经评估有利于提升生态功能的，可开展土地整治新增耕地外，严格限制农业开发占用林业发展区。</w:t>
            </w:r>
          </w:p>
          <w:p w14:paraId="035DA41F">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林业发展区内的经济林地鼓励推行集约经营、农林复合经营，在法律允许的范围内合理安排各类生产活动，最大限度地挖掘林地生产力。</w:t>
            </w:r>
          </w:p>
          <w:p w14:paraId="5A2290F9">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区内的各种开发建设活动应做好选址论证，严格控制建筑规模与开发强度，严格风貌管控，确保生态安全和生态服务质量不降低。</w:t>
            </w:r>
          </w:p>
          <w:p w14:paraId="7B642AA2">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2.用途退出</w:t>
            </w:r>
          </w:p>
          <w:p w14:paraId="71080952">
            <w:pPr>
              <w:pStyle w:val="30"/>
              <w:spacing w:line="500" w:lineRule="exact"/>
              <w:ind w:firstLine="480"/>
              <w:rPr>
                <w:rFonts w:ascii="Calibri" w:hAnsi="Calibri" w:eastAsia="仿宋_GB2312"/>
                <w:color w:val="auto"/>
                <w:sz w:val="24"/>
                <w:szCs w:val="21"/>
              </w:rPr>
            </w:pPr>
            <w:r>
              <w:rPr>
                <w:rFonts w:hint="eastAsia" w:ascii="Calibri" w:hAnsi="Calibri" w:eastAsia="仿宋_GB2312"/>
                <w:color w:val="auto"/>
                <w:sz w:val="24"/>
                <w:szCs w:val="21"/>
              </w:rPr>
              <w:t>区内原有的各种不符合生态保护要求的生产、开发活动应有序退出。</w:t>
            </w:r>
          </w:p>
          <w:p w14:paraId="29FA82B0">
            <w:pPr>
              <w:pStyle w:val="30"/>
              <w:spacing w:line="500" w:lineRule="exact"/>
              <w:ind w:firstLine="480"/>
              <w:rPr>
                <w:rFonts w:ascii="Calibri" w:hAnsi="Calibri"/>
                <w:color w:val="auto"/>
              </w:rPr>
            </w:pPr>
            <w:r>
              <w:rPr>
                <w:rFonts w:hint="eastAsia" w:ascii="Calibri" w:hAnsi="Calibri" w:eastAsia="仿宋_GB2312"/>
                <w:color w:val="auto"/>
                <w:sz w:val="24"/>
                <w:szCs w:val="21"/>
              </w:rPr>
              <w:t>坡度25度以上已经开垦种植的林地要逐步还林。</w:t>
            </w:r>
          </w:p>
        </w:tc>
      </w:tr>
      <w:bookmarkEnd w:id="64"/>
    </w:tbl>
    <w:p w14:paraId="4F73E7EE">
      <w:pPr>
        <w:pStyle w:val="3"/>
        <w:widowControl/>
        <w:ind w:firstLine="0" w:firstLineChars="0"/>
      </w:pPr>
      <w:bookmarkStart w:id="65" w:name="_Toc178165656"/>
      <w:bookmarkStart w:id="66" w:name="_Toc240028041"/>
      <w:r>
        <w:rPr>
          <w:rFonts w:hint="eastAsia" w:cs="黑体"/>
        </w:rPr>
        <w:t>第六节</w:t>
      </w:r>
      <w:r>
        <w:t xml:space="preserve"> </w:t>
      </w:r>
      <w:r>
        <w:rPr>
          <w:rFonts w:hint="eastAsia" w:cs="黑体"/>
        </w:rPr>
        <w:t>用地用途和结构调整</w:t>
      </w:r>
      <w:bookmarkEnd w:id="65"/>
      <w:bookmarkEnd w:id="66"/>
    </w:p>
    <w:p w14:paraId="75A70B57">
      <w:pPr>
        <w:ind w:firstLine="640"/>
      </w:pPr>
      <w:r>
        <w:rPr>
          <w:rFonts w:hint="eastAsia" w:cs="仿宋_GB2312"/>
          <w:lang w:bidi="ar"/>
        </w:rPr>
        <w:t>严控非农建设占用耕地，合理保障农业设施建设用地，确保规划期末耕地保护目标牢牢守住。严控林地转为建设用地，稳步推进国土绿化，有序保护稳定林地、草地面积，增强生态系统服务功能。</w:t>
      </w:r>
    </w:p>
    <w:p w14:paraId="41F62AEF">
      <w:pPr>
        <w:widowControl/>
        <w:ind w:firstLine="640"/>
        <w:jc w:val="left"/>
        <w:rPr>
          <w:rFonts w:cs="Times New Roman"/>
          <w:lang w:bidi="ar"/>
        </w:rPr>
      </w:pPr>
      <w:r>
        <w:rPr>
          <w:rFonts w:hint="eastAsia" w:cs="Times New Roman"/>
          <w:lang w:bidi="ar"/>
        </w:rPr>
        <w:t>严控建设用地总规模，优先保障区域基础设施用地和乡村振兴发展用地，保障乡村发展用地需求，实现建设用地集约高效利用。</w:t>
      </w:r>
    </w:p>
    <w:p w14:paraId="5107067A">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土地节约集约利用</w:t>
      </w:r>
    </w:p>
    <w:p w14:paraId="2CAAEBFA">
      <w:pPr>
        <w:pStyle w:val="25"/>
        <w:widowControl/>
        <w:spacing w:before="312" w:beforeLines="100" w:after="156" w:afterLines="50"/>
        <w:ind w:firstLine="640"/>
        <w:rPr>
          <w:rFonts w:ascii="楷体" w:hAnsi="楷体" w:eastAsia="仿宋_GB2312" w:cs="黑体"/>
          <w:szCs w:val="32"/>
          <w:lang w:bidi="ar"/>
        </w:rPr>
      </w:pPr>
      <w:r>
        <w:rPr>
          <w:rFonts w:hint="eastAsia" w:ascii="楷体" w:hAnsi="楷体" w:eastAsia="仿宋_GB2312" w:cs="黑体"/>
          <w:szCs w:val="32"/>
          <w:lang w:bidi="ar"/>
        </w:rPr>
        <w:t>按照严格保护耕地和集约节约用地的要求，科学核定各类设施农业用地规模，合理确定农业附属设施和配套设施的用地规模；加强设施农用地服务与监管，全过程监督设施农用地的土地利用、土地复垦、土地变更、土地流转等。</w:t>
      </w:r>
    </w:p>
    <w:p w14:paraId="543FB665">
      <w:pPr>
        <w:ind w:firstLine="640"/>
        <w:rPr>
          <w:lang w:bidi="ar"/>
        </w:rPr>
      </w:pPr>
      <w:r>
        <w:rPr>
          <w:lang w:bidi="ar"/>
        </w:rPr>
        <w:br w:type="page"/>
      </w:r>
    </w:p>
    <w:p w14:paraId="0B9F27B8">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67" w:name="_Toc240028042"/>
      <w:bookmarkStart w:id="68" w:name="_Toc178165657"/>
      <w:bookmarkStart w:id="69" w:name="_Toc153976294"/>
      <w:r>
        <w:rPr>
          <w:rFonts w:hint="eastAsia" w:ascii="方正小标宋_GBK" w:hAnsi="方正小标宋_GBK" w:eastAsia="方正小标宋_GBK" w:cs="黑体"/>
          <w:b w:val="0"/>
          <w:sz w:val="36"/>
          <w:szCs w:val="36"/>
        </w:rPr>
        <w:t>第五章 空间布局优化</w:t>
      </w:r>
      <w:bookmarkEnd w:id="67"/>
      <w:bookmarkEnd w:id="68"/>
      <w:bookmarkEnd w:id="69"/>
      <w:r>
        <w:rPr>
          <w:rFonts w:hint="eastAsia" w:ascii="方正小标宋_GBK" w:hAnsi="方正小标宋_GBK" w:eastAsia="方正小标宋_GBK" w:cs="黑体"/>
          <w:b w:val="0"/>
          <w:sz w:val="36"/>
          <w:szCs w:val="36"/>
        </w:rPr>
        <w:tab/>
      </w:r>
    </w:p>
    <w:p w14:paraId="586971F7">
      <w:pPr>
        <w:pStyle w:val="3"/>
        <w:widowControl/>
        <w:ind w:firstLine="0" w:firstLineChars="0"/>
      </w:pPr>
      <w:bookmarkStart w:id="70" w:name="_Toc153976295"/>
      <w:bookmarkStart w:id="71" w:name="_Toc178165658"/>
      <w:bookmarkStart w:id="72" w:name="_Toc240028043"/>
      <w:r>
        <w:rPr>
          <w:rFonts w:hint="eastAsia" w:cs="黑体"/>
        </w:rPr>
        <w:t>第一节</w:t>
      </w:r>
      <w:r>
        <w:t xml:space="preserve"> </w:t>
      </w:r>
      <w:bookmarkEnd w:id="70"/>
      <w:r>
        <w:rPr>
          <w:rFonts w:hint="eastAsia" w:cs="黑体"/>
        </w:rPr>
        <w:t>农业生产空间</w:t>
      </w:r>
      <w:bookmarkEnd w:id="71"/>
      <w:bookmarkEnd w:id="72"/>
    </w:p>
    <w:p w14:paraId="1B2FE003">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农业生产空间格局</w:t>
      </w:r>
    </w:p>
    <w:p w14:paraId="265AD764">
      <w:pPr>
        <w:ind w:firstLine="640"/>
        <w:rPr>
          <w:rFonts w:cs="仿宋_GB2312"/>
          <w:lang w:bidi="ar"/>
        </w:rPr>
      </w:pPr>
      <w:r>
        <w:rPr>
          <w:rFonts w:hint="eastAsia" w:cs="仿宋_GB2312"/>
          <w:lang w:bidi="ar"/>
        </w:rPr>
        <w:t>树立大局观，以保障区域粮食安全为基础，拓展农产品生产空间。在保护好耕地和生态环境的前提下，支持农产品生产空间从耕地向草地、林地、湿地等国土空间拓展，形成同市场需求相适应、同资源环境承载能力相匹配的农业空间结构和布局，形成农产品多样化的食物生产空间，保障区域重要农产品有效供给。优化后头乡农业空间布局，做强西部玉米种植区，做优东北部综合种植区，做精东南部蔬菜种植区。加强水利设施的综合布设，加强农田灌溉设施的布局和用地保障。</w:t>
      </w:r>
    </w:p>
    <w:p w14:paraId="28F8AC9C">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落实耕地“三位一体”保护</w:t>
      </w:r>
    </w:p>
    <w:p w14:paraId="1B2ACD74">
      <w:pPr>
        <w:ind w:firstLine="640"/>
      </w:pPr>
      <w:r>
        <w:rPr>
          <w:rStyle w:val="28"/>
          <w:rFonts w:hint="eastAsia"/>
        </w:rPr>
        <w:t>严格耕地占补平衡。</w:t>
      </w:r>
      <w:r>
        <w:rPr>
          <w:rFonts w:hint="eastAsia" w:cs="仿宋_GB2312"/>
          <w:lang w:bidi="ar"/>
        </w:rPr>
        <w:t>严控非农建设占用耕地，各类非农业建设项目选址布局尽量不占或少占耕地，特别是永久基本农田。确需占用的，按照“以补定占”原则，合理安排建设用地计划，严格落实耕地占补平衡责任，落实“数量相等、质量相当、产能不降”的要求，以乡域内自行平衡为主，不足的可申请县域内调剂，严禁占优补劣、占水田补旱地。</w:t>
      </w:r>
    </w:p>
    <w:p w14:paraId="3DEC1D82">
      <w:pPr>
        <w:ind w:firstLine="640"/>
      </w:pPr>
      <w:r>
        <w:rPr>
          <w:rStyle w:val="28"/>
          <w:rFonts w:hint="eastAsia"/>
        </w:rPr>
        <w:t>实施耕地进出平衡。</w:t>
      </w:r>
      <w:r>
        <w:rPr>
          <w:rFonts w:hint="eastAsia" w:cs="仿宋_GB2312"/>
          <w:lang w:bidi="ar"/>
        </w:rPr>
        <w:t>严格控制耕地转为其他农用地。以</w:t>
      </w:r>
      <w:r>
        <w:rPr>
          <w:rFonts w:cs="Times New Roman"/>
          <w:lang w:bidi="ar"/>
        </w:rPr>
        <w:t>2020</w:t>
      </w:r>
      <w:r>
        <w:rPr>
          <w:rFonts w:hint="eastAsia" w:cs="仿宋_GB2312"/>
          <w:lang w:bidi="ar"/>
        </w:rPr>
        <w:t>年度国土变更调查为基础，除国家安排生态退耕、自然灾害损毁难以复耕、河湖水面自然扩大造成耕地永久淹没等特殊情况外，对耕地转为林地、草地、园地等其他农用地及农业设施建设用地的，应当补足同等数量、质量的可长期稳定利用的耕地，落实年度耕地进出平衡。</w:t>
      </w:r>
    </w:p>
    <w:p w14:paraId="7FDD3EE7">
      <w:pPr>
        <w:ind w:firstLine="640"/>
      </w:pPr>
      <w:r>
        <w:rPr>
          <w:rStyle w:val="28"/>
          <w:rFonts w:hint="eastAsia"/>
        </w:rPr>
        <w:t>利用耕地进出平衡，优化农用地空间布局。</w:t>
      </w:r>
      <w:r>
        <w:rPr>
          <w:rFonts w:hint="eastAsia" w:cs="仿宋_GB2312"/>
          <w:lang w:bidi="ar"/>
        </w:rPr>
        <w:t>科学利用滩涂地发展设施农业，引导设施农业产能向非耕地区域适度转移。严格管控进出平衡的耕地质量，将难以或不宜长期稳定利用耕地逐步置换为可以长期稳定利用耕地，总体提升耕地质量。</w:t>
      </w:r>
    </w:p>
    <w:p w14:paraId="15924854">
      <w:pPr>
        <w:ind w:firstLine="640"/>
      </w:pPr>
      <w:r>
        <w:rPr>
          <w:rStyle w:val="28"/>
          <w:rFonts w:hint="eastAsia"/>
        </w:rPr>
        <w:t>实施耕地种植用途管控。</w:t>
      </w:r>
      <w:r>
        <w:rPr>
          <w:rFonts w:hint="eastAsia" w:cs="仿宋_GB2312"/>
          <w:lang w:bidi="ar"/>
        </w:rPr>
        <w:t>严格落实耕地利用优先序，耕地主要用于粮食和油、糖、蔬菜等农产品及饲草饲料生产，永久基本农田重点用于水稻、玉米、大豆等粮食生产，高标准农田原则上全部用于粮食生产。利用信息化手段监测耕地种植动态变化，开展日常巡查和核查，对耕地种植用途改变做到早发现、早制止，守住保障国家粮食安全底线，保障粮食和重要农产品有效供给。</w:t>
      </w:r>
    </w:p>
    <w:p w14:paraId="1E7626CE">
      <w:pPr>
        <w:ind w:firstLine="640"/>
      </w:pPr>
      <w:r>
        <w:rPr>
          <w:rStyle w:val="28"/>
          <w:rFonts w:hint="eastAsia"/>
        </w:rPr>
        <w:t>加强永久基本农田保护和高标准农田建设。</w:t>
      </w:r>
      <w:r>
        <w:rPr>
          <w:rFonts w:hint="eastAsia" w:cs="仿宋_GB2312"/>
          <w:lang w:bidi="ar"/>
        </w:rPr>
        <w:t>以永久基本农田为基础，优先在粮食生产功能区、重要农产品保护区建设高标准农田，逐步把永久基本农田全部建成旱涝保收的高标准农田。经依法批准确需占用的，应先补建后占用。完善永久基本农田储备区制度，土地整治和新建高标准农田增加的优质耕地应优先补划为永久基本农田。在永久基本农田集中分布地区，不得规划新建可能造成污染的建设项目。</w:t>
      </w:r>
    </w:p>
    <w:p w14:paraId="55EE9208">
      <w:pPr>
        <w:ind w:firstLine="640"/>
      </w:pPr>
      <w:r>
        <w:rPr>
          <w:rStyle w:val="28"/>
          <w:rFonts w:hint="eastAsia"/>
        </w:rPr>
        <w:t>科学有序实施后备资源开发和战略储备。</w:t>
      </w:r>
      <w:r>
        <w:rPr>
          <w:rFonts w:hint="eastAsia" w:cs="仿宋_GB2312"/>
          <w:lang w:bidi="ar"/>
        </w:rPr>
        <w:t>结合规划期内建设占用耕地情况，按照“占一补一”要求，以保护好生态为前提，在水资源条件具备的地区，以水而定，适度开发耕地后备资源，推进工矿废弃地等建设用地复垦。严格认定新增耕地数量，科学评定耕地质量，确保新增耕地真实准确。在农产品主产区内，选择与现状耕地连片分布、有水源灌溉条件的宜耕农用地，优先划入耕地战略储备区，保护耕地生产能力，保持恢复耕地的潜力。</w:t>
      </w:r>
    </w:p>
    <w:p w14:paraId="68049705">
      <w:pPr>
        <w:ind w:firstLine="640"/>
        <w:rPr>
          <w:rFonts w:cs="仿宋_GB2312"/>
          <w:lang w:bidi="ar"/>
        </w:rPr>
      </w:pPr>
      <w:r>
        <w:rPr>
          <w:rFonts w:hint="eastAsia" w:cs="仿宋_GB2312"/>
          <w:lang w:bidi="ar"/>
        </w:rPr>
        <w:t>推动用地与养地相结合，积极落实农业轮作制度，推广玉米、大豆、杂粮、经济作物轮作等绿色、高产、高质、综合配套技术模式；稳步推进不适宜耕种土地的退耕还林，实行保护性耕作，加快耕地退化治理；深入实施土壤污染防治行动计划，加大农药残留、农膜等治理力度，推广土壤污染防治与修复技术的应用。</w:t>
      </w:r>
    </w:p>
    <w:p w14:paraId="30F08803">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黑土地保护</w:t>
      </w:r>
    </w:p>
    <w:p w14:paraId="6BF460A8">
      <w:pPr>
        <w:ind w:firstLine="640"/>
      </w:pPr>
      <w:r>
        <w:rPr>
          <w:rFonts w:hint="eastAsia" w:cs="仿宋_GB2312"/>
          <w:lang w:bidi="ar"/>
        </w:rPr>
        <w:t>坚持生态优先、用养结合，实行黑土地战略性保护。坚持农机农艺结合，探索建立以秸秆翻埋、碎混、少免耕秸秆覆盖还田为核心，配套应用米豆轮作、深松整地、粪肥还田等措施的黑土地保护利用综合技术体系，增加土壤有机质，创建肥沃耕作层。通过严把源头治理、推行科学施肥合理用药和开展农药包装废弃物回收，科学有效防治农业面源污染。</w:t>
      </w:r>
    </w:p>
    <w:p w14:paraId="3327CBBF">
      <w:pPr>
        <w:widowControl/>
        <w:ind w:firstLine="640"/>
      </w:pPr>
      <w:r>
        <w:rPr>
          <w:rFonts w:hint="eastAsia" w:cs="Times New Roman"/>
          <w:lang w:bidi="ar"/>
        </w:rPr>
        <w:t>涉及占用黑土耕地的，应在黑土区范围内统筹落实补充耕地任务，落实“占黑土补黑土”，并按照规定标准对建设占用耕地耕作层土壤进行剥离再利用。</w:t>
      </w:r>
    </w:p>
    <w:p w14:paraId="0B375B76">
      <w:pPr>
        <w:pStyle w:val="3"/>
        <w:widowControl/>
        <w:ind w:firstLine="0" w:firstLineChars="0"/>
      </w:pPr>
      <w:bookmarkStart w:id="73" w:name="_Toc178165659"/>
      <w:bookmarkStart w:id="74" w:name="_Toc240028044"/>
      <w:r>
        <w:rPr>
          <w:rFonts w:hint="eastAsia" w:cs="黑体"/>
        </w:rPr>
        <w:t>第二节</w:t>
      </w:r>
      <w:r>
        <w:t xml:space="preserve"> </w:t>
      </w:r>
      <w:r>
        <w:rPr>
          <w:rFonts w:hint="eastAsia" w:cs="黑体"/>
        </w:rPr>
        <w:t>生态功能空间</w:t>
      </w:r>
      <w:bookmarkEnd w:id="73"/>
      <w:bookmarkEnd w:id="74"/>
    </w:p>
    <w:p w14:paraId="58AF9FFD">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生态空间格局</w:t>
      </w:r>
    </w:p>
    <w:p w14:paraId="058FA473">
      <w:pPr>
        <w:ind w:firstLine="640"/>
      </w:pPr>
      <w:r>
        <w:rPr>
          <w:rFonts w:hint="eastAsia" w:cs="仿宋_GB2312"/>
          <w:lang w:bidi="ar"/>
        </w:rPr>
        <w:t>结合后头乡自然生态条件，依托山水林田湖草自然资源，强化生态廊道联通性，以流域为基础，整合林草生态资源，构建“两廊贯穿、多点相拥”的生态系统保护格局，作为全乡基本生态骨架，维持生态系统功能稳定的基底，提升全域生态系统服务能力。其中：</w:t>
      </w:r>
    </w:p>
    <w:p w14:paraId="4CCDB1FC">
      <w:pPr>
        <w:ind w:firstLine="640"/>
      </w:pPr>
      <w:r>
        <w:rPr>
          <w:rFonts w:hint="eastAsia" w:cs="仿宋_GB2312"/>
          <w:lang w:bidi="ar"/>
        </w:rPr>
        <w:t>“两廊”指以克音河和努敏河为主的水系生态廊道，推进综合治理，提升水生态环境质量。</w:t>
      </w:r>
    </w:p>
    <w:p w14:paraId="335657CB">
      <w:pPr>
        <w:ind w:firstLine="640"/>
      </w:pPr>
      <w:r>
        <w:rPr>
          <w:rFonts w:hint="eastAsia" w:cs="仿宋_GB2312"/>
          <w:lang w:bidi="ar"/>
        </w:rPr>
        <w:t>“多点”指由散布于全乡的自然林地斑块组成。通过田林共建，形成水网密布、林网交织的自然田园生态景观。</w:t>
      </w:r>
    </w:p>
    <w:p w14:paraId="1348B016">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自然资源保护与利用</w:t>
      </w:r>
    </w:p>
    <w:p w14:paraId="1947F37E">
      <w:pPr>
        <w:pStyle w:val="27"/>
        <w:ind w:left="640"/>
      </w:pPr>
      <w:r>
        <w:rPr>
          <w:rFonts w:hint="eastAsia"/>
        </w:rPr>
        <w:t>1.林地资源保护与利用</w:t>
      </w:r>
    </w:p>
    <w:p w14:paraId="714E86EF">
      <w:pPr>
        <w:ind w:firstLine="640"/>
        <w:rPr>
          <w:rFonts w:cs="仿宋_GB2312"/>
          <w:lang w:bidi="ar"/>
        </w:rPr>
      </w:pPr>
      <w:r>
        <w:rPr>
          <w:rFonts w:hint="eastAsia" w:cs="仿宋_GB2312"/>
          <w:lang w:bidi="ar"/>
        </w:rPr>
        <w:t>加强林地资源管护，加强林地资源结构优化，提升生态系统碳汇能力，保护天然林资源，禁止采伐生态重要地区天然林，加强天然林科学保育，构建健康稳定的森林生态系统。集约经营人工林，提高林木质量、林地效率和森林生产力。积极在荒山、灾毁林地区种植树木，通过自然修复和人工植树造林、更新采伐迹地来恢复森林植被。</w:t>
      </w:r>
    </w:p>
    <w:p w14:paraId="7A43A21A">
      <w:pPr>
        <w:ind w:firstLine="640"/>
        <w:rPr>
          <w:rFonts w:cs="仿宋_GB2312"/>
          <w:lang w:bidi="ar"/>
        </w:rPr>
      </w:pPr>
      <w:r>
        <w:rPr>
          <w:rFonts w:hint="eastAsia" w:cs="仿宋_GB2312"/>
          <w:lang w:bidi="ar"/>
        </w:rPr>
        <w:t>依据国土空间开发保护总体布局，坚持“宜乔则乔、宜灌则灌、宜草则草、宜湿则湿”的原则，将本地适宜造林绿化土地统筹确定为规划造林绿化空间。对照规划期内森林覆盖率目标，有序安排年度造林绿化任务，带位置上报、带图斑下达。根据年度造林绿化任务“落地上图”情况，及时更新规划造林绿化空间数据。加快乡域美化绿化，提升乡域森林景观质量；以保护村林建设、街道绿化、庭院绿化、休憩场所绿化、废弃闲置地绿化为重点，持续推进村庄绿化。加快建设农田防护林，持续加强农田林网建设和老化防护林更新改造，科学开展国土绿化行动。</w:t>
      </w:r>
    </w:p>
    <w:p w14:paraId="7507A4AD">
      <w:pPr>
        <w:pStyle w:val="27"/>
        <w:ind w:left="640"/>
      </w:pPr>
      <w:r>
        <w:rPr>
          <w:rFonts w:hint="eastAsia"/>
        </w:rPr>
        <w:t>2.草地资源保护与利用</w:t>
      </w:r>
    </w:p>
    <w:p w14:paraId="5EBE57D0">
      <w:pPr>
        <w:ind w:firstLine="640"/>
        <w:rPr>
          <w:rFonts w:cs="仿宋_GB2312"/>
          <w:lang w:bidi="ar"/>
        </w:rPr>
      </w:pPr>
      <w:r>
        <w:rPr>
          <w:rFonts w:hint="eastAsia" w:cs="仿宋_GB2312"/>
          <w:lang w:bidi="ar"/>
        </w:rPr>
        <w:t>草原生态系统总体状况稳步向好，草原生产力和优良牧草比例稳步提升，草原生态系统健康状况明显好转，生态系统更加稳定。严格按照《黑龙江省草原禁牧计划》，全乡实行草原禁牧。</w:t>
      </w:r>
    </w:p>
    <w:p w14:paraId="534C8034">
      <w:pPr>
        <w:pStyle w:val="27"/>
        <w:ind w:left="640"/>
      </w:pPr>
      <w:r>
        <w:rPr>
          <w:rFonts w:hint="eastAsia" w:cs="仿宋_GB2312"/>
          <w:lang w:bidi="ar"/>
        </w:rPr>
        <w:t>3.水资源</w:t>
      </w:r>
      <w:r>
        <w:rPr>
          <w:rFonts w:hint="eastAsia"/>
        </w:rPr>
        <w:t>保护与利用</w:t>
      </w:r>
    </w:p>
    <w:p w14:paraId="631E74B5">
      <w:pPr>
        <w:ind w:firstLine="640"/>
      </w:pPr>
      <w:r>
        <w:rPr>
          <w:rFonts w:hint="eastAsia" w:cs="仿宋_GB2312"/>
          <w:lang w:bidi="ar"/>
        </w:rPr>
        <w:t>规划至</w:t>
      </w:r>
      <w:r>
        <w:rPr>
          <w:rFonts w:cs="Times New Roman"/>
          <w:lang w:bidi="ar"/>
        </w:rPr>
        <w:t>2035</w:t>
      </w:r>
      <w:r>
        <w:rPr>
          <w:rFonts w:hint="eastAsia" w:cs="仿宋_GB2312"/>
          <w:lang w:bidi="ar"/>
        </w:rPr>
        <w:t>年，全乡用水总量不超过上级下达指标。</w:t>
      </w:r>
    </w:p>
    <w:p w14:paraId="700B9304">
      <w:pPr>
        <w:ind w:firstLine="640"/>
      </w:pPr>
      <w:r>
        <w:rPr>
          <w:rFonts w:hint="eastAsia" w:cs="仿宋_GB2312"/>
          <w:lang w:bidi="ar"/>
        </w:rPr>
        <w:t>加强水源涵养功能区保护，提升植被覆盖。划定努敏河、克音河及十五井沟等重要水生态空间管理保护范围和管理界线，周边土地以保护优先、合理利用为规划原则，坚持保护优先，把河湖岸线及周边土地保护作为岸线利用的前提，实现在保护中有序开发、在开发中落实保护。根据河湖岸线及周边土地的自然条件，充分考虑防洪安全、河势稳定、生态安全、供水安全、通航安全等方面要求，兼顾上下游、左右岸、县乡发展、产业开发、生态保护等方面对努敏河、克音河及十五井沟河湖岸线及周边土地的利用需求，促进努敏河、克音河及十五井沟河湖岸线及周边土地的合理利用，强化节约集约利用。</w:t>
      </w:r>
    </w:p>
    <w:p w14:paraId="5CCB417A">
      <w:pPr>
        <w:ind w:firstLine="640"/>
        <w:rPr>
          <w:rFonts w:cs="仿宋_GB2312"/>
          <w:lang w:bidi="ar"/>
        </w:rPr>
      </w:pPr>
      <w:r>
        <w:rPr>
          <w:rFonts w:hint="eastAsia" w:cs="仿宋_GB2312"/>
          <w:lang w:bidi="ar"/>
        </w:rPr>
        <w:t>一级保护区内：禁止新建、扩建与供水设施和保护水源无关的建设项目；禁止向水域排放污水，已设置的排污口必须拆除；不得设置与供水需要无关的码头，禁止停靠船舶；禁止堆置和存放工业废渣、乡村垃圾、粪便和其他废弃物；禁止设置油库；禁止从事种植、放养畜禽和网箱养殖活动；禁止可能污染水源的旅游活动和其他活动。二级保护区内：禁止新建、改建、扩建排放污染物的建设项目；原有排污口依法拆除或者关闭；禁止设立装卸垃圾、粪便、油类和有毒物品的码头。</w:t>
      </w:r>
    </w:p>
    <w:p w14:paraId="414BBA0A">
      <w:pPr>
        <w:ind w:firstLine="640"/>
        <w:rPr>
          <w:rFonts w:cs="仿宋_GB2312"/>
          <w:lang w:bidi="ar"/>
        </w:rPr>
      </w:pPr>
      <w:r>
        <w:rPr>
          <w:rFonts w:hint="eastAsia" w:cs="仿宋_GB2312"/>
          <w:lang w:bidi="ar"/>
        </w:rPr>
        <w:t>加强水源保护区隔离防护，在一级保护区边界设置隔离防护栏，在一二级保护区边界设置水源保护标识牌、警示牌等。加强水源保护区周边水源涵养林和水土保持林建设、环库消涨带植被恢复，保障水库水源涵养能力，恢复水库生物多样性。</w:t>
      </w:r>
    </w:p>
    <w:p w14:paraId="5792D8CF">
      <w:pPr>
        <w:pStyle w:val="3"/>
        <w:widowControl/>
        <w:numPr>
          <w:ilvl w:val="0"/>
          <w:numId w:val="5"/>
        </w:numPr>
        <w:ind w:firstLineChars="0"/>
      </w:pPr>
      <w:bookmarkStart w:id="75" w:name="_Toc178165660"/>
      <w:bookmarkStart w:id="76" w:name="_Toc240028045"/>
      <w:r>
        <w:rPr>
          <w:rFonts w:hint="eastAsia" w:cs="黑体"/>
        </w:rPr>
        <w:t>建设空间</w:t>
      </w:r>
      <w:bookmarkEnd w:id="75"/>
      <w:bookmarkEnd w:id="76"/>
    </w:p>
    <w:p w14:paraId="3AD04F83">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居民点体系</w:t>
      </w:r>
    </w:p>
    <w:p w14:paraId="04B5F941">
      <w:pPr>
        <w:ind w:firstLineChars="0"/>
        <w:jc w:val="left"/>
      </w:pPr>
      <w:bookmarkStart w:id="77" w:name="_Hlk106627104"/>
      <w:r>
        <w:rPr>
          <w:rFonts w:hint="eastAsia" w:cs="仿宋_GB2312"/>
          <w:lang w:bidi="ar"/>
        </w:rPr>
        <w:t>构建“一心、一优、多点”的乡域居民点体系。</w:t>
      </w:r>
    </w:p>
    <w:p w14:paraId="0D8423AC">
      <w:pPr>
        <w:ind w:firstLine="640" w:firstLineChars="0"/>
        <w:jc w:val="left"/>
      </w:pPr>
      <w:r>
        <w:rPr>
          <w:rFonts w:hint="eastAsia" w:cs="仿宋_GB2312"/>
          <w:lang w:bidi="ar"/>
        </w:rPr>
        <w:t>“一心”（乡政府驻地）：后头乡乡政府驻地——十五井村。</w:t>
      </w:r>
    </w:p>
    <w:p w14:paraId="503B9EE7">
      <w:pPr>
        <w:ind w:firstLine="640" w:firstLineChars="0"/>
        <w:jc w:val="left"/>
      </w:pPr>
      <w:r>
        <w:rPr>
          <w:rFonts w:hint="eastAsia" w:cs="仿宋_GB2312"/>
          <w:lang w:bidi="ar"/>
        </w:rPr>
        <w:t>“一优”（中心村）：红光村。</w:t>
      </w:r>
      <w:bookmarkEnd w:id="77"/>
    </w:p>
    <w:p w14:paraId="333E3C12">
      <w:pPr>
        <w:ind w:firstLine="640"/>
        <w:jc w:val="left"/>
      </w:pPr>
      <w:r>
        <w:rPr>
          <w:rFonts w:hint="eastAsia" w:cs="仿宋_GB2312"/>
          <w:lang w:bidi="ar"/>
        </w:rPr>
        <w:t>“多点”（一般村）：二井村、前头村、振东村。</w:t>
      </w:r>
    </w:p>
    <w:p w14:paraId="773A6C6D">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乡职能结构</w:t>
      </w:r>
    </w:p>
    <w:p w14:paraId="690008BD">
      <w:pPr>
        <w:pStyle w:val="19"/>
        <w:ind w:firstLine="640"/>
        <w:rPr>
          <w:rFonts w:ascii="仿宋_GB2312" w:hAnsi="宋体"/>
        </w:rPr>
      </w:pPr>
      <w:r>
        <w:rPr>
          <w:rFonts w:ascii="仿宋_GB2312" w:hAnsi="宋体"/>
        </w:rPr>
        <w:t>依据产业基础、资源禀赋、交通条件等现状及发展规划，形成</w:t>
      </w:r>
      <w:r>
        <w:t>综合服务型、农业生产型、旅游型</w:t>
      </w:r>
      <w:r>
        <w:rPr>
          <w:rFonts w:hint="eastAsia" w:ascii="仿宋_GB2312" w:hAnsi="宋体"/>
        </w:rPr>
        <w:t>三</w:t>
      </w:r>
      <w:r>
        <w:rPr>
          <w:rFonts w:ascii="仿宋_GB2312" w:hAnsi="宋体"/>
        </w:rPr>
        <w:t>类职能结构。</w:t>
      </w:r>
    </w:p>
    <w:p w14:paraId="7431708C">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产业空间布局</w:t>
      </w:r>
    </w:p>
    <w:p w14:paraId="642868B0">
      <w:pPr>
        <w:ind w:firstLine="640"/>
      </w:pPr>
      <w:r>
        <w:rPr>
          <w:rFonts w:hint="eastAsia" w:cs="仿宋_GB2312"/>
          <w:lang w:bidi="ar"/>
        </w:rPr>
        <w:t>现代农业：加快建设现代农业具有重大意义：第一，加快建设现代农业是落实科学发展观的具体体现。发展现代农业，是科学发展观在农业农村工作中的具体运用和落实。通过建设现代农业，促进农业增长方式转变，优化农业农村经济结构，集约使用农业资源，提高农业竞争力，实现农业又好又快发展。</w:t>
      </w:r>
    </w:p>
    <w:p w14:paraId="3D5395B5">
      <w:pPr>
        <w:ind w:firstLine="640"/>
        <w:rPr>
          <w:rFonts w:cs="仿宋_GB2312"/>
          <w:lang w:bidi="ar"/>
        </w:rPr>
      </w:pPr>
      <w:r>
        <w:rPr>
          <w:rFonts w:hint="eastAsia" w:cs="仿宋_GB2312"/>
          <w:lang w:bidi="ar"/>
        </w:rPr>
        <w:t>农产品加工业：打造黏甜玉米、畜禽养殖、杂粮、有机蔬菜、黑木耳加工等加工企业，创造后头乡自己的品牌。同时吸引农业产业紧密相连且符合环保要求的农产品深加工、绿色有机食品加工等产业项目，形成后头乡的特色项目，拉动全乡增收，实现带民致富的目标。</w:t>
      </w:r>
    </w:p>
    <w:p w14:paraId="06740D03">
      <w:pPr>
        <w:ind w:firstLine="640"/>
        <w:rPr>
          <w:lang w:bidi="ar"/>
        </w:rPr>
      </w:pPr>
      <w:r>
        <w:rPr>
          <w:lang w:bidi="ar"/>
        </w:rPr>
        <w:br w:type="page"/>
      </w:r>
    </w:p>
    <w:p w14:paraId="6C73A9D2">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color w:val="FF0000"/>
          <w:sz w:val="36"/>
          <w:szCs w:val="36"/>
        </w:rPr>
      </w:pPr>
      <w:bookmarkStart w:id="78" w:name="_Toc178165662"/>
      <w:bookmarkStart w:id="79" w:name="_Toc240028046"/>
      <w:r>
        <w:rPr>
          <w:rFonts w:hint="eastAsia" w:ascii="方正小标宋_GBK" w:hAnsi="方正小标宋_GBK" w:eastAsia="方正小标宋_GBK" w:cs="黑体"/>
          <w:b w:val="0"/>
          <w:sz w:val="36"/>
          <w:szCs w:val="36"/>
        </w:rPr>
        <w:t>第六章 乡政府驻地规划</w:t>
      </w:r>
      <w:bookmarkEnd w:id="78"/>
      <w:bookmarkEnd w:id="79"/>
      <w:r>
        <w:rPr>
          <w:rFonts w:hint="eastAsia" w:ascii="方正小标宋_GBK" w:hAnsi="方正小标宋_GBK" w:eastAsia="方正小标宋_GBK" w:cs="黑体"/>
          <w:b w:val="0"/>
          <w:color w:val="FF0000"/>
          <w:sz w:val="36"/>
          <w:szCs w:val="36"/>
        </w:rPr>
        <w:tab/>
      </w:r>
    </w:p>
    <w:p w14:paraId="7CD38FD6">
      <w:pPr>
        <w:pStyle w:val="3"/>
        <w:widowControl/>
        <w:ind w:firstLine="0" w:firstLineChars="0"/>
      </w:pPr>
      <w:bookmarkStart w:id="80" w:name="_Toc101943663"/>
      <w:bookmarkStart w:id="81" w:name="_Toc153976299"/>
      <w:bookmarkStart w:id="82" w:name="_Toc178165663"/>
      <w:bookmarkStart w:id="83" w:name="_Toc240028047"/>
      <w:r>
        <w:rPr>
          <w:rFonts w:hint="eastAsia" w:cs="黑体"/>
        </w:rPr>
        <w:t>第一节</w:t>
      </w:r>
      <w:r>
        <w:t xml:space="preserve"> </w:t>
      </w:r>
      <w:bookmarkEnd w:id="80"/>
      <w:bookmarkEnd w:id="81"/>
      <w:r>
        <w:rPr>
          <w:rFonts w:hint="eastAsia" w:cs="黑体"/>
        </w:rPr>
        <w:t>发展方向与规模</w:t>
      </w:r>
      <w:bookmarkEnd w:id="82"/>
      <w:bookmarkEnd w:id="83"/>
    </w:p>
    <w:p w14:paraId="62763EBD">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乡政府驻地发展方向</w:t>
      </w:r>
    </w:p>
    <w:p w14:paraId="2A9F6336">
      <w:pPr>
        <w:ind w:firstLine="640"/>
        <w:rPr>
          <w:rFonts w:cs="仿宋_GB2312"/>
          <w:lang w:bidi="ar"/>
        </w:rPr>
      </w:pPr>
      <w:r>
        <w:rPr>
          <w:rFonts w:hint="eastAsia" w:cs="仿宋_GB2312"/>
          <w:lang w:bidi="ar"/>
        </w:rPr>
        <w:t>综合考虑自然地理条件、区域交通联系和重要设施建设等因素，结合</w:t>
      </w:r>
      <w:r>
        <w:rPr>
          <w:rFonts w:cs="Times New Roman"/>
          <w:lang w:bidi="ar"/>
        </w:rPr>
        <w:t>201</w:t>
      </w:r>
      <w:r>
        <w:rPr>
          <w:rFonts w:hint="eastAsia" w:cs="仿宋_GB2312"/>
          <w:lang w:bidi="ar"/>
        </w:rPr>
        <w:t>县道和</w:t>
      </w:r>
      <w:r>
        <w:rPr>
          <w:rFonts w:cs="Times New Roman"/>
          <w:lang w:bidi="ar"/>
        </w:rPr>
        <w:t>303</w:t>
      </w:r>
      <w:r>
        <w:rPr>
          <w:rFonts w:hint="eastAsia" w:cs="仿宋_GB2312"/>
          <w:lang w:bidi="ar"/>
        </w:rPr>
        <w:t>县道建设，综合确定乡政府驻地重点向南发展。</w:t>
      </w:r>
      <w:bookmarkStart w:id="84" w:name="_Toc101943664"/>
      <w:bookmarkStart w:id="85" w:name="_Toc153976300"/>
      <w:bookmarkStart w:id="86" w:name="_Toc178165664"/>
    </w:p>
    <w:p w14:paraId="1DE3452A">
      <w:pPr>
        <w:pStyle w:val="3"/>
        <w:widowControl/>
        <w:ind w:firstLine="0" w:firstLineChars="0"/>
        <w:rPr>
          <w:rFonts w:cs="黑体"/>
        </w:rPr>
      </w:pPr>
      <w:bookmarkStart w:id="87" w:name="_Toc240028048"/>
      <w:r>
        <w:rPr>
          <w:rFonts w:hint="eastAsia" w:cs="黑体"/>
        </w:rPr>
        <w:t>第二节</w:t>
      </w:r>
      <w:r>
        <w:rPr>
          <w:rFonts w:cs="黑体"/>
        </w:rPr>
        <w:t xml:space="preserve"> </w:t>
      </w:r>
      <w:bookmarkEnd w:id="84"/>
      <w:bookmarkEnd w:id="85"/>
      <w:r>
        <w:rPr>
          <w:rFonts w:hint="eastAsia" w:cs="黑体"/>
        </w:rPr>
        <w:t>用地结构与布局</w:t>
      </w:r>
      <w:bookmarkEnd w:id="86"/>
      <w:bookmarkEnd w:id="87"/>
    </w:p>
    <w:p w14:paraId="5E57C04C">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空间结构优化</w:t>
      </w:r>
    </w:p>
    <w:p w14:paraId="7C68BBBB">
      <w:pPr>
        <w:ind w:firstLine="640"/>
      </w:pPr>
      <w:r>
        <w:rPr>
          <w:rFonts w:hint="eastAsia" w:cs="仿宋_GB2312"/>
          <w:lang w:bidi="ar"/>
        </w:rPr>
        <w:t>按照总体思路，形成“一主、两带、四心、两区”的总体空间结构。</w:t>
      </w:r>
    </w:p>
    <w:p w14:paraId="6EBAA6F8">
      <w:pPr>
        <w:ind w:firstLine="640"/>
      </w:pPr>
      <w:r>
        <w:rPr>
          <w:rFonts w:hint="eastAsia" w:cs="仿宋_GB2312"/>
          <w:lang w:bidi="ar"/>
        </w:rPr>
        <w:t>“一主”指乡政府驻地综合功能核心区。主要以乡政府为核心，形成综合服务核心，辐射周边区域。</w:t>
      </w:r>
    </w:p>
    <w:p w14:paraId="44A4C7CA">
      <w:pPr>
        <w:ind w:firstLine="640"/>
      </w:pPr>
      <w:r>
        <w:rPr>
          <w:rFonts w:hint="eastAsia" w:cs="仿宋_GB2312"/>
          <w:lang w:bidi="ar"/>
        </w:rPr>
        <w:t>“两带”指以</w:t>
      </w:r>
      <w:r>
        <w:rPr>
          <w:rFonts w:cs="Times New Roman"/>
          <w:lang w:bidi="ar"/>
        </w:rPr>
        <w:t>303</w:t>
      </w:r>
      <w:r>
        <w:rPr>
          <w:rFonts w:hint="eastAsia" w:cs="仿宋_GB2312"/>
          <w:lang w:bidi="ar"/>
        </w:rPr>
        <w:t>县道和</w:t>
      </w:r>
      <w:r>
        <w:rPr>
          <w:rFonts w:cs="Times New Roman"/>
          <w:lang w:bidi="ar"/>
        </w:rPr>
        <w:t>201</w:t>
      </w:r>
      <w:r>
        <w:rPr>
          <w:rFonts w:hint="eastAsia" w:cs="仿宋_GB2312"/>
          <w:lang w:bidi="ar"/>
        </w:rPr>
        <w:t>县道为发展轴线带动经济发展。</w:t>
      </w:r>
    </w:p>
    <w:p w14:paraId="31AF3636">
      <w:pPr>
        <w:ind w:firstLine="640"/>
      </w:pPr>
      <w:r>
        <w:rPr>
          <w:rFonts w:hint="eastAsia" w:cs="仿宋_GB2312"/>
          <w:lang w:bidi="ar"/>
        </w:rPr>
        <w:t>“四心”指乡政府驻地内的三个绿地公园和一个公园广场，形成居民休闲中心。</w:t>
      </w:r>
    </w:p>
    <w:p w14:paraId="4539D3B4">
      <w:pPr>
        <w:ind w:firstLine="640"/>
      </w:pPr>
      <w:r>
        <w:rPr>
          <w:rFonts w:hint="eastAsia" w:cs="仿宋_GB2312"/>
          <w:lang w:bidi="ar"/>
        </w:rPr>
        <w:t>“两区”指沿</w:t>
      </w:r>
      <w:r>
        <w:rPr>
          <w:rFonts w:cs="Times New Roman"/>
          <w:lang w:bidi="ar"/>
        </w:rPr>
        <w:t>303</w:t>
      </w:r>
      <w:r>
        <w:rPr>
          <w:rFonts w:hint="eastAsia" w:cs="仿宋_GB2312"/>
          <w:lang w:bidi="ar"/>
        </w:rPr>
        <w:t>县道形成的工业区和生活区。</w:t>
      </w:r>
    </w:p>
    <w:p w14:paraId="09E7F6AC">
      <w:pPr>
        <w:pStyle w:val="3"/>
        <w:widowControl/>
        <w:ind w:firstLine="0" w:firstLineChars="0"/>
        <w:rPr>
          <w:rFonts w:cs="黑体"/>
        </w:rPr>
      </w:pPr>
      <w:bookmarkStart w:id="88" w:name="_Toc240028049"/>
      <w:r>
        <w:rPr>
          <w:rFonts w:hint="eastAsia" w:cs="黑体"/>
        </w:rPr>
        <w:t>第三节 完善住房保障</w:t>
      </w:r>
      <w:bookmarkEnd w:id="88"/>
    </w:p>
    <w:p w14:paraId="2EFBB03F">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ascii="楷体" w:hAnsi="楷体" w:eastAsia="仿宋_GB2312" w:cs="黑体"/>
          <w:szCs w:val="32"/>
          <w:lang w:bidi="ar"/>
        </w:rPr>
        <w:t>居住用地发展策略</w:t>
      </w:r>
    </w:p>
    <w:p w14:paraId="2A8DC7A0">
      <w:pPr>
        <w:ind w:firstLine="640"/>
      </w:pPr>
      <w:bookmarkStart w:id="89" w:name="_Toc414349712"/>
      <w:bookmarkStart w:id="90" w:name="_Toc191382429"/>
      <w:r>
        <w:t>对</w:t>
      </w:r>
      <w:r>
        <w:rPr>
          <w:rFonts w:hint="eastAsia"/>
        </w:rPr>
        <w:t>后头乡政府驻地</w:t>
      </w:r>
      <w:r>
        <w:t>内的居住用地采取“有机更新”的方式，通过改善基础设施、公共交通条件，增加公园绿地和开放空间，提升居住环境质量，采取保留、调整和更新的措施。</w:t>
      </w:r>
    </w:p>
    <w:p w14:paraId="420C9A06">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bookmarkStart w:id="91" w:name="_Toc27277"/>
      <w:bookmarkStart w:id="92" w:name="_Toc20844"/>
      <w:r>
        <w:rPr>
          <w:rFonts w:ascii="楷体" w:hAnsi="楷体" w:eastAsia="仿宋_GB2312" w:cs="黑体"/>
          <w:szCs w:val="32"/>
          <w:lang w:bidi="ar"/>
        </w:rPr>
        <w:t>居住用地布局</w:t>
      </w:r>
      <w:bookmarkEnd w:id="89"/>
      <w:bookmarkEnd w:id="91"/>
      <w:bookmarkEnd w:id="92"/>
    </w:p>
    <w:p w14:paraId="7F693C0A">
      <w:pPr>
        <w:ind w:firstLine="640"/>
      </w:pPr>
      <w:r>
        <w:t>规划居住用地形成</w:t>
      </w:r>
      <w:r>
        <w:rPr>
          <w:rFonts w:hint="eastAsia"/>
        </w:rPr>
        <w:t>南北部</w:t>
      </w:r>
      <w:r>
        <w:t>居住组团。</w:t>
      </w:r>
      <w:bookmarkEnd w:id="90"/>
      <w:bookmarkStart w:id="93" w:name="_Toc414349713"/>
      <w:bookmarkStart w:id="94" w:name="_Toc85816468"/>
      <w:r>
        <w:t>以内部存量改造为主，综合配套公共服务设施。存量改造现有住房，加大环境综合整治，提升居住生活质量。</w:t>
      </w:r>
      <w:bookmarkEnd w:id="93"/>
      <w:bookmarkEnd w:id="94"/>
    </w:p>
    <w:p w14:paraId="247406AE">
      <w:pPr>
        <w:pStyle w:val="3"/>
        <w:widowControl/>
        <w:ind w:firstLine="0" w:firstLineChars="0"/>
        <w:rPr>
          <w:rFonts w:cs="黑体"/>
        </w:rPr>
      </w:pPr>
      <w:bookmarkStart w:id="95" w:name="_Toc240028050"/>
      <w:r>
        <w:rPr>
          <w:rFonts w:hint="eastAsia" w:cs="黑体"/>
        </w:rPr>
        <w:t>第四节 保障公共服务设施建设</w:t>
      </w:r>
      <w:bookmarkEnd w:id="95"/>
    </w:p>
    <w:p w14:paraId="53F7BBA9">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机关团体用地</w:t>
      </w:r>
    </w:p>
    <w:p w14:paraId="322840A4">
      <w:pPr>
        <w:ind w:firstLine="640"/>
      </w:pPr>
      <w:r>
        <w:rPr>
          <w:rFonts w:hint="eastAsia"/>
        </w:rPr>
        <w:t>机关团体用地位于乡政府驻地中部，主要是后头乡政府的行政办公场所。规划保留现状镇政府用地。</w:t>
      </w:r>
    </w:p>
    <w:p w14:paraId="6F854CFF">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教育用地</w:t>
      </w:r>
    </w:p>
    <w:p w14:paraId="678DC897">
      <w:pPr>
        <w:ind w:firstLine="640"/>
      </w:pPr>
      <w:r>
        <w:rPr>
          <w:rFonts w:hint="eastAsia"/>
        </w:rPr>
        <w:t>规划保留后头乡小学，同时对其进行改造，提升办学条件及环境。</w:t>
      </w:r>
    </w:p>
    <w:p w14:paraId="60D6FC02">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医疗卫生用地</w:t>
      </w:r>
    </w:p>
    <w:p w14:paraId="3218C48A">
      <w:pPr>
        <w:ind w:firstLine="640"/>
      </w:pPr>
      <w:r>
        <w:rPr>
          <w:rFonts w:hint="eastAsia"/>
        </w:rPr>
        <w:t>规划保留后头乡卫生所，原址改造扩建，以满足乡政府驻地发展对医疗卫生的要求。</w:t>
      </w:r>
    </w:p>
    <w:p w14:paraId="0C120506">
      <w:pPr>
        <w:pStyle w:val="3"/>
        <w:widowControl/>
        <w:ind w:firstLine="0" w:firstLineChars="0"/>
      </w:pPr>
      <w:bookmarkStart w:id="96" w:name="_Toc178165665"/>
      <w:bookmarkStart w:id="97" w:name="_Toc240028051"/>
      <w:r>
        <w:rPr>
          <w:rFonts w:hint="eastAsia" w:cs="黑体"/>
        </w:rPr>
        <w:t>第五节</w:t>
      </w:r>
      <w:r>
        <w:t xml:space="preserve"> </w:t>
      </w:r>
      <w:r>
        <w:rPr>
          <w:rFonts w:hint="eastAsia" w:cs="黑体"/>
        </w:rPr>
        <w:t>绿地与开敞空间</w:t>
      </w:r>
      <w:bookmarkEnd w:id="96"/>
      <w:bookmarkEnd w:id="97"/>
    </w:p>
    <w:p w14:paraId="758111D5">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 xml:space="preserve"> 优化绿地系统</w:t>
      </w:r>
    </w:p>
    <w:p w14:paraId="2B01BFC3">
      <w:pPr>
        <w:ind w:firstLine="640"/>
        <w:rPr>
          <w:rFonts w:eastAsia="楷体" w:cs="Times New Roman"/>
        </w:rPr>
      </w:pPr>
      <w:r>
        <w:rPr>
          <w:rFonts w:hint="eastAsia" w:eastAsia="楷体" w:cs="Times New Roman"/>
        </w:rPr>
        <w:t>1.总体目标</w:t>
      </w:r>
    </w:p>
    <w:p w14:paraId="70A6C4AB">
      <w:pPr>
        <w:ind w:firstLine="640"/>
        <w:rPr>
          <w:rFonts w:ascii="仿宋_GB2312" w:hAnsi="宋体"/>
        </w:rPr>
      </w:pPr>
      <w:r>
        <w:rPr>
          <w:rFonts w:ascii="仿宋_GB2312" w:hAnsi="宋体"/>
        </w:rPr>
        <w:t>以优化人居环境为核心，构筑总量达标、布局合理、文化蕴涵丰富的</w:t>
      </w:r>
      <w:r>
        <w:rPr>
          <w:rFonts w:hint="eastAsia" w:ascii="仿宋_GB2312" w:hAnsi="宋体"/>
        </w:rPr>
        <w:t>乡村</w:t>
      </w:r>
      <w:r>
        <w:rPr>
          <w:rFonts w:ascii="仿宋_GB2312" w:hAnsi="宋体"/>
        </w:rPr>
        <w:t>绿地系统。</w:t>
      </w:r>
    </w:p>
    <w:p w14:paraId="6F0F15F9">
      <w:pPr>
        <w:ind w:firstLine="640"/>
        <w:rPr>
          <w:rFonts w:eastAsia="楷体" w:cs="Times New Roman"/>
        </w:rPr>
      </w:pPr>
      <w:r>
        <w:rPr>
          <w:rFonts w:eastAsia="楷体" w:cs="Times New Roman"/>
        </w:rPr>
        <w:t>2.</w:t>
      </w:r>
      <w:r>
        <w:rPr>
          <w:rFonts w:hint="eastAsia" w:eastAsia="楷体" w:cs="Times New Roman"/>
        </w:rPr>
        <w:t>绿地规划</w:t>
      </w:r>
    </w:p>
    <w:p w14:paraId="57CC30F5">
      <w:pPr>
        <w:ind w:firstLine="640"/>
        <w:rPr>
          <w:rFonts w:ascii="仿宋_GB2312" w:hAnsi="宋体"/>
        </w:rPr>
      </w:pPr>
      <w:r>
        <w:rPr>
          <w:rFonts w:hint="eastAsia" w:ascii="仿宋_GB2312" w:hAnsi="宋体"/>
        </w:rPr>
        <w:t>规划采用了公园绿地、街头绿地等多种形式相结合的方法，共同构成乡政府驻地的绿化系统。</w:t>
      </w:r>
    </w:p>
    <w:p w14:paraId="6A0245B6">
      <w:pPr>
        <w:pStyle w:val="3"/>
        <w:widowControl/>
        <w:ind w:firstLine="0" w:firstLineChars="0"/>
      </w:pPr>
      <w:bookmarkStart w:id="98" w:name="_Toc178165666"/>
      <w:bookmarkStart w:id="99" w:name="_Toc240028052"/>
      <w:r>
        <w:rPr>
          <w:rFonts w:hint="eastAsia" w:cs="黑体"/>
        </w:rPr>
        <w:t>第六节</w:t>
      </w:r>
      <w:r>
        <w:t xml:space="preserve"> </w:t>
      </w:r>
      <w:r>
        <w:rPr>
          <w:rFonts w:hint="eastAsia" w:cs="黑体"/>
        </w:rPr>
        <w:t>道路交通</w:t>
      </w:r>
      <w:bookmarkEnd w:id="98"/>
      <w:bookmarkEnd w:id="99"/>
    </w:p>
    <w:p w14:paraId="3371C0F8">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道路网规划</w:t>
      </w:r>
    </w:p>
    <w:p w14:paraId="35664260">
      <w:pPr>
        <w:ind w:firstLineChars="0"/>
        <w:rPr>
          <w:rFonts w:ascii="仿宋_GB2312" w:cs="仿宋_GB2312"/>
        </w:rPr>
      </w:pPr>
      <w:r>
        <w:rPr>
          <w:rFonts w:hint="eastAsia" w:ascii="仿宋_GB2312" w:cs="仿宋_GB2312"/>
          <w:lang w:bidi="ar"/>
        </w:rPr>
        <w:t>规划乡政府驻地内骨干路网体系以方格网为主，以通干路、补断头路、窄马路、密路网为重点完善道路体系，加强各功能组团间的干道联系，形成功能分明、等级合理、衔接顺畅的道路系统。</w:t>
      </w:r>
    </w:p>
    <w:p w14:paraId="7F7ECDBB">
      <w:pPr>
        <w:ind w:firstLine="640"/>
        <w:rPr>
          <w:rFonts w:eastAsia="楷体" w:cs="Times New Roman"/>
        </w:rPr>
      </w:pPr>
      <w:r>
        <w:rPr>
          <w:rFonts w:eastAsia="楷体" w:cs="Times New Roman"/>
        </w:rPr>
        <w:t>1.</w:t>
      </w:r>
      <w:r>
        <w:rPr>
          <w:rFonts w:hint="eastAsia" w:eastAsia="楷体" w:cs="Times New Roman"/>
        </w:rPr>
        <w:t>干路</w:t>
      </w:r>
    </w:p>
    <w:p w14:paraId="5F4F108F">
      <w:pPr>
        <w:ind w:firstLineChars="0"/>
        <w:rPr>
          <w:rFonts w:ascii="仿宋_GB2312" w:cs="仿宋_GB2312"/>
        </w:rPr>
      </w:pPr>
      <w:r>
        <w:rPr>
          <w:rFonts w:hint="eastAsia" w:ascii="仿宋_GB2312" w:cs="仿宋_GB2312"/>
          <w:lang w:bidi="ar"/>
        </w:rPr>
        <w:t>构建“一横、一纵”的干道体系。一横为东西走向303县道。一纵为201县道，红线宽度控制在30米。</w:t>
      </w:r>
    </w:p>
    <w:p w14:paraId="34B258E0">
      <w:pPr>
        <w:ind w:firstLine="640"/>
        <w:rPr>
          <w:rFonts w:eastAsia="楷体" w:cs="Times New Roman"/>
        </w:rPr>
      </w:pPr>
      <w:r>
        <w:rPr>
          <w:rFonts w:eastAsia="楷体" w:cs="Times New Roman"/>
        </w:rPr>
        <w:t>2.</w:t>
      </w:r>
      <w:r>
        <w:rPr>
          <w:rFonts w:hint="eastAsia" w:eastAsia="楷体" w:cs="Times New Roman"/>
        </w:rPr>
        <w:t>支路</w:t>
      </w:r>
    </w:p>
    <w:p w14:paraId="052C2B57">
      <w:pPr>
        <w:ind w:firstLineChars="0"/>
        <w:rPr>
          <w:rFonts w:ascii="仿宋_GB2312" w:cs="仿宋_GB2312"/>
        </w:rPr>
      </w:pPr>
      <w:r>
        <w:rPr>
          <w:rFonts w:hint="eastAsia" w:ascii="仿宋_GB2312" w:cs="仿宋_GB2312"/>
          <w:lang w:bidi="ar"/>
        </w:rPr>
        <w:t>规划结合各组团用地功能和干路，组织建立疏密有序的内部支路道路系统。</w:t>
      </w:r>
    </w:p>
    <w:p w14:paraId="6FBC1C7F">
      <w:pPr>
        <w:ind w:firstLine="640"/>
        <w:rPr>
          <w:rFonts w:eastAsia="楷体" w:cs="Times New Roman"/>
        </w:rPr>
      </w:pPr>
      <w:r>
        <w:rPr>
          <w:rFonts w:eastAsia="楷体" w:cs="Times New Roman"/>
        </w:rPr>
        <w:t>3.</w:t>
      </w:r>
      <w:r>
        <w:rPr>
          <w:rFonts w:hint="eastAsia" w:eastAsia="楷体" w:cs="Times New Roman"/>
        </w:rPr>
        <w:t>主要交叉口</w:t>
      </w:r>
    </w:p>
    <w:p w14:paraId="1832EAF0">
      <w:pPr>
        <w:ind w:firstLine="640" w:firstLineChars="0"/>
        <w:rPr>
          <w:rFonts w:ascii="仿宋_GB2312" w:cs="仿宋_GB2312"/>
          <w:lang w:bidi="ar"/>
        </w:rPr>
      </w:pPr>
      <w:r>
        <w:rPr>
          <w:rFonts w:hint="eastAsia" w:ascii="仿宋_GB2312" w:cs="仿宋_GB2312"/>
          <w:lang w:bidi="ar"/>
        </w:rPr>
        <w:t>道路交叉以平面交叉口为主，对于交通流量较大或异型交通组织困难的路口，采取路口渠化、信号优先等措施。</w:t>
      </w:r>
    </w:p>
    <w:p w14:paraId="6ED7ECAC">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公共交通</w:t>
      </w:r>
    </w:p>
    <w:p w14:paraId="0BB3AD36">
      <w:pPr>
        <w:ind w:firstLine="640"/>
      </w:pPr>
      <w:r>
        <w:rPr>
          <w:rFonts w:hint="eastAsia"/>
        </w:rPr>
        <w:t>规划</w:t>
      </w:r>
      <w:r>
        <w:t>在每个</w:t>
      </w:r>
      <w:r>
        <w:rPr>
          <w:rFonts w:hint="eastAsia"/>
        </w:rPr>
        <w:t>行政村</w:t>
      </w:r>
      <w:r>
        <w:t>规划建设</w:t>
      </w:r>
      <w:r>
        <w:rPr>
          <w:rFonts w:hint="eastAsia"/>
        </w:rPr>
        <w:t>公共交通站点，</w:t>
      </w:r>
      <w:r>
        <w:t>根据村庄发展需要开通</w:t>
      </w:r>
      <w:r>
        <w:rPr>
          <w:rFonts w:hint="eastAsia"/>
        </w:rPr>
        <w:t>公交</w:t>
      </w:r>
      <w:r>
        <w:t>线路，方便</w:t>
      </w:r>
      <w:r>
        <w:rPr>
          <w:rFonts w:hint="eastAsia"/>
        </w:rPr>
        <w:t>村庄</w:t>
      </w:r>
      <w:r>
        <w:t>居民出行。</w:t>
      </w:r>
      <w:r>
        <w:rPr>
          <w:rFonts w:hint="eastAsia"/>
        </w:rPr>
        <w:t>公交站点设计和公共汽车的外观应当符合后头乡的特色风貌。公共汽车鼓励使用可再生和清洁能源。</w:t>
      </w:r>
    </w:p>
    <w:p w14:paraId="48ED7517">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慢行交通</w:t>
      </w:r>
    </w:p>
    <w:p w14:paraId="331C55D9">
      <w:pPr>
        <w:ind w:firstLine="640"/>
        <w:rPr>
          <w:rFonts w:hint="eastAsia"/>
        </w:rPr>
      </w:pPr>
      <w:r>
        <w:rPr>
          <w:rFonts w:hint="eastAsia"/>
        </w:rPr>
        <w:t>完善安全通达的骑行网络和舒适便捷的步行活动区域，结合高密度、小尺度的村道，完善以人行道、非机动车道为主的慢行网络，提高慢行网络的连续性和功能性。</w:t>
      </w:r>
    </w:p>
    <w:p w14:paraId="6BE1175A">
      <w:pPr>
        <w:pStyle w:val="3"/>
        <w:widowControl/>
        <w:ind w:firstLine="0" w:firstLineChars="0"/>
      </w:pPr>
      <w:bookmarkStart w:id="100" w:name="_Toc178165669"/>
      <w:bookmarkStart w:id="101" w:name="_Toc240028053"/>
      <w:r>
        <w:rPr>
          <w:rFonts w:hint="eastAsia" w:cs="黑体"/>
        </w:rPr>
        <w:t>第七节</w:t>
      </w:r>
      <w:r>
        <w:t xml:space="preserve"> </w:t>
      </w:r>
      <w:r>
        <w:rPr>
          <w:rFonts w:hint="eastAsia" w:cs="黑体"/>
        </w:rPr>
        <w:t>“四线”管控</w:t>
      </w:r>
      <w:bookmarkEnd w:id="100"/>
      <w:r>
        <w:rPr>
          <w:rFonts w:hint="eastAsia" w:cs="黑体"/>
        </w:rPr>
        <w:t>与战略留白</w:t>
      </w:r>
      <w:bookmarkEnd w:id="101"/>
    </w:p>
    <w:p w14:paraId="33839949">
      <w:pPr>
        <w:ind w:firstLine="640"/>
      </w:pPr>
      <w:r>
        <w:rPr>
          <w:rFonts w:hint="eastAsia" w:cs="仿宋_GB2312"/>
          <w:lang w:bidi="ar"/>
        </w:rPr>
        <w:t>本次规划“四线”包括绿线。无黄线、蓝线和紫线。</w:t>
      </w:r>
    </w:p>
    <w:p w14:paraId="39BC906A">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绿线控制</w:t>
      </w:r>
    </w:p>
    <w:p w14:paraId="19C50EBF">
      <w:pPr>
        <w:ind w:firstLine="640"/>
      </w:pPr>
      <w:r>
        <w:rPr>
          <w:rFonts w:hint="eastAsia" w:cs="仿宋_GB2312"/>
          <w:lang w:bidi="ar"/>
        </w:rPr>
        <w:t>规划绿线内的用地，不得改作他用，不得违反法律法规、强制性标准以及批准的规划进行开发建设。</w:t>
      </w:r>
    </w:p>
    <w:p w14:paraId="779892A5">
      <w:pPr>
        <w:ind w:firstLine="640"/>
      </w:pPr>
      <w:r>
        <w:rPr>
          <w:rFonts w:hint="eastAsia" w:cs="仿宋_GB2312"/>
          <w:lang w:bidi="ar"/>
        </w:rPr>
        <w:t>有关部门不得违反规定，批准在绿线范围内进行建设。因建设或者其他特殊情况，需要临时占用绿线内用地的，必须依法办理相关审批手续。</w:t>
      </w:r>
    </w:p>
    <w:p w14:paraId="32002C51">
      <w:pPr>
        <w:ind w:firstLine="640"/>
      </w:pPr>
      <w:r>
        <w:rPr>
          <w:rFonts w:hint="eastAsia" w:cs="仿宋_GB2312"/>
          <w:lang w:bidi="ar"/>
        </w:rPr>
        <w:t>在绿线范围内，不符合规划要求的建筑物、构筑物及其他设施应当限期迁出。</w:t>
      </w:r>
    </w:p>
    <w:p w14:paraId="29C2EBB0">
      <w:pPr>
        <w:widowControl/>
        <w:ind w:firstLine="640"/>
        <w:jc w:val="left"/>
        <w:rPr>
          <w:rFonts w:ascii="华文仿宋" w:hAnsi="华文仿宋" w:eastAsia="华文仿宋" w:cs="华文仿宋"/>
          <w:szCs w:val="28"/>
          <w:lang w:bidi="ar"/>
        </w:rPr>
      </w:pPr>
      <w:r>
        <w:rPr>
          <w:rFonts w:hint="eastAsia" w:cs="Times New Roman"/>
          <w:lang w:bidi="ar"/>
        </w:rPr>
        <w:t>任何单位和个人不得在绿地范围内进行拦河截溪、取土采石、设置垃圾堆场、排放污水以及其他对生态环境构成破坏的活动。</w:t>
      </w:r>
      <w:r>
        <w:rPr>
          <w:rFonts w:hint="eastAsia" w:ascii="华文仿宋" w:hAnsi="华文仿宋" w:eastAsia="华文仿宋" w:cs="华文仿宋"/>
          <w:szCs w:val="28"/>
          <w:lang w:bidi="ar"/>
        </w:rPr>
        <w:t>‌‌</w:t>
      </w:r>
    </w:p>
    <w:p w14:paraId="13BB36F8">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留白用地规划</w:t>
      </w:r>
    </w:p>
    <w:p w14:paraId="31B6C875">
      <w:pPr>
        <w:widowControl/>
        <w:ind w:firstLine="640"/>
        <w:jc w:val="left"/>
        <w:rPr>
          <w:rFonts w:cs="Times New Roman"/>
          <w:lang w:bidi="ar"/>
        </w:rPr>
      </w:pPr>
      <w:r>
        <w:rPr>
          <w:rFonts w:hint="eastAsia" w:cs="Times New Roman"/>
          <w:lang w:bidi="ar"/>
        </w:rPr>
        <w:t>后头乡政府驻地内无战略留白用地。</w:t>
      </w:r>
    </w:p>
    <w:p w14:paraId="170C0479">
      <w:pPr>
        <w:ind w:firstLine="640"/>
        <w:rPr>
          <w:lang w:bidi="ar"/>
        </w:rPr>
      </w:pPr>
      <w:r>
        <w:rPr>
          <w:lang w:bidi="ar"/>
        </w:rPr>
        <w:br w:type="page"/>
      </w:r>
    </w:p>
    <w:p w14:paraId="544B6997">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102" w:name="_Toc178165670"/>
      <w:bookmarkStart w:id="103" w:name="_Toc240028054"/>
      <w:bookmarkStart w:id="104" w:name="_Toc153976305"/>
      <w:r>
        <w:rPr>
          <w:rFonts w:hint="eastAsia" w:ascii="方正小标宋_GBK" w:hAnsi="方正小标宋_GBK" w:eastAsia="方正小标宋_GBK" w:cs="黑体"/>
          <w:b w:val="0"/>
          <w:sz w:val="36"/>
          <w:szCs w:val="36"/>
        </w:rPr>
        <w:t>第七章 基础保障体系</w:t>
      </w:r>
      <w:bookmarkEnd w:id="102"/>
      <w:bookmarkEnd w:id="103"/>
      <w:bookmarkEnd w:id="104"/>
    </w:p>
    <w:p w14:paraId="1406CA56">
      <w:pPr>
        <w:pStyle w:val="3"/>
        <w:widowControl/>
        <w:ind w:firstLine="0" w:firstLineChars="0"/>
      </w:pPr>
      <w:bookmarkStart w:id="105" w:name="_Toc178165672"/>
      <w:bookmarkStart w:id="106" w:name="_Toc240028055"/>
      <w:r>
        <w:rPr>
          <w:rFonts w:hint="eastAsia" w:cs="黑体"/>
        </w:rPr>
        <w:t>第一节</w:t>
      </w:r>
      <w:r>
        <w:t xml:space="preserve"> </w:t>
      </w:r>
      <w:r>
        <w:rPr>
          <w:rFonts w:hint="eastAsia" w:cs="黑体"/>
        </w:rPr>
        <w:t>综合交通</w:t>
      </w:r>
      <w:bookmarkEnd w:id="105"/>
      <w:bookmarkEnd w:id="106"/>
    </w:p>
    <w:p w14:paraId="73C25256">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发展方向与规划目标</w:t>
      </w:r>
    </w:p>
    <w:p w14:paraId="434F8B15">
      <w:pPr>
        <w:ind w:firstLine="640"/>
      </w:pPr>
      <w:r>
        <w:rPr>
          <w:rFonts w:hint="eastAsia" w:cs="仿宋_GB2312"/>
          <w:lang w:bidi="ar"/>
        </w:rPr>
        <w:t>全面推进“四好农村路”建设，健全管理养护长效机制，完善安全防护设施，保障农村地区基本出行条件。推进乡道路客运一体化、网络化发展，发展乡村公交。</w:t>
      </w:r>
    </w:p>
    <w:p w14:paraId="709BA92A">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乡域综合交通</w:t>
      </w:r>
    </w:p>
    <w:p w14:paraId="7576541F">
      <w:pPr>
        <w:pStyle w:val="19"/>
        <w:ind w:firstLine="640"/>
        <w:rPr>
          <w:rFonts w:eastAsia="楷体" w:cs="Times New Roman"/>
        </w:rPr>
      </w:pPr>
      <w:r>
        <w:rPr>
          <w:rFonts w:hint="eastAsia" w:eastAsia="楷体" w:cs="Times New Roman"/>
        </w:rPr>
        <w:t>1.铁路</w:t>
      </w:r>
    </w:p>
    <w:p w14:paraId="468E67C5">
      <w:pPr>
        <w:ind w:firstLine="640" w:firstLineChars="0"/>
        <w:rPr>
          <w:rFonts w:ascii="仿宋_GB2312" w:hAnsi="楷体" w:cs="仿宋_GB2312"/>
        </w:rPr>
      </w:pPr>
      <w:r>
        <w:rPr>
          <w:rFonts w:hint="eastAsia" w:ascii="仿宋_GB2312" w:hAnsi="楷体" w:cs="仿宋_GB2312"/>
          <w:lang w:bidi="ar"/>
        </w:rPr>
        <w:t>后头乡乡域既有滨北铁路，南北方向穿过乡域，此铁路在后头乡内没有站点。</w:t>
      </w:r>
    </w:p>
    <w:p w14:paraId="7CFAD66A">
      <w:pPr>
        <w:ind w:firstLine="640" w:firstLineChars="0"/>
        <w:rPr>
          <w:rFonts w:ascii="仿宋_GB2312" w:hAnsi="楷体" w:cs="仿宋_GB2312"/>
          <w:lang w:bidi="ar"/>
        </w:rPr>
      </w:pPr>
      <w:r>
        <w:rPr>
          <w:rFonts w:hint="eastAsia" w:ascii="仿宋_GB2312" w:hAnsi="楷体" w:cs="仿宋_GB2312"/>
          <w:lang w:bidi="ar"/>
        </w:rPr>
        <w:t>铁路线路安全保护区范围为从铁路线路路堤坡脚、路堑坡顶或者铁路桥梁外侧起高速铁路向外20米进行控制。</w:t>
      </w:r>
    </w:p>
    <w:p w14:paraId="02472965">
      <w:pPr>
        <w:pStyle w:val="19"/>
        <w:ind w:firstLine="640"/>
        <w:rPr>
          <w:rFonts w:eastAsia="楷体" w:cs="Times New Roman"/>
        </w:rPr>
      </w:pPr>
      <w:r>
        <w:rPr>
          <w:rFonts w:hint="eastAsia" w:eastAsia="楷体" w:cs="Times New Roman"/>
        </w:rPr>
        <w:t>2.公路</w:t>
      </w:r>
    </w:p>
    <w:p w14:paraId="69BF50A9">
      <w:pPr>
        <w:ind w:firstLine="640" w:firstLineChars="0"/>
        <w:rPr>
          <w:rFonts w:ascii="仿宋_GB2312" w:hAnsi="楷体" w:cs="仿宋_GB2312"/>
          <w:lang w:bidi="ar"/>
        </w:rPr>
      </w:pPr>
      <w:r>
        <w:rPr>
          <w:rFonts w:hint="eastAsia" w:ascii="仿宋_GB2312" w:hAnsi="楷体" w:cs="仿宋_GB2312"/>
          <w:lang w:bidi="ar"/>
        </w:rPr>
        <w:t>乡域公路网体系由省道、县道、乡道和通村道路组成。</w:t>
      </w:r>
    </w:p>
    <w:p w14:paraId="1779F534">
      <w:pPr>
        <w:ind w:firstLine="640" w:firstLineChars="0"/>
        <w:rPr>
          <w:rFonts w:ascii="仿宋_GB2312" w:hAnsi="楷体" w:cs="仿宋_GB2312"/>
          <w:lang w:bidi="ar"/>
        </w:rPr>
      </w:pPr>
      <w:r>
        <w:rPr>
          <w:rFonts w:hint="eastAsia" w:ascii="仿宋_GB2312" w:hAnsi="楷体" w:cs="仿宋_GB2312"/>
          <w:lang w:bidi="ar"/>
        </w:rPr>
        <w:t>省道。101省道，由南至北贯穿后头乡全域。</w:t>
      </w:r>
    </w:p>
    <w:p w14:paraId="6997956D">
      <w:pPr>
        <w:pStyle w:val="19"/>
        <w:ind w:firstLine="640"/>
        <w:rPr>
          <w:rFonts w:ascii="仿宋_GB2312" w:hAnsi="宋体"/>
        </w:rPr>
      </w:pPr>
      <w:r>
        <w:rPr>
          <w:rFonts w:hint="eastAsia" w:ascii="仿宋_GB2312" w:hAnsi="楷体" w:cs="仿宋_GB2312"/>
          <w:lang w:bidi="ar"/>
        </w:rPr>
        <w:t>县道。乡域内规划2</w:t>
      </w:r>
      <w:r>
        <w:rPr>
          <w:rFonts w:ascii="仿宋_GB2312" w:hAnsi="楷体" w:cs="仿宋_GB2312"/>
          <w:lang w:bidi="ar"/>
        </w:rPr>
        <w:t>01</w:t>
      </w:r>
      <w:r>
        <w:rPr>
          <w:rFonts w:hint="eastAsia" w:ascii="仿宋_GB2312" w:hAnsi="楷体" w:cs="仿宋_GB2312"/>
          <w:lang w:bidi="ar"/>
        </w:rPr>
        <w:t>县道和3</w:t>
      </w:r>
      <w:r>
        <w:rPr>
          <w:rFonts w:ascii="仿宋_GB2312" w:hAnsi="楷体" w:cs="仿宋_GB2312"/>
          <w:lang w:bidi="ar"/>
        </w:rPr>
        <w:t>03</w:t>
      </w:r>
      <w:r>
        <w:rPr>
          <w:rFonts w:hint="eastAsia" w:ascii="仿宋_GB2312" w:hAnsi="楷体" w:cs="仿宋_GB2312"/>
          <w:lang w:bidi="ar"/>
        </w:rPr>
        <w:t>县道，</w:t>
      </w:r>
      <w:r>
        <w:rPr>
          <w:rFonts w:hint="eastAsia" w:ascii="仿宋_GB2312" w:hAnsi="宋体"/>
        </w:rPr>
        <w:t>2条县道，乡域建设用地范围外按照公路边沟外缘不少于</w:t>
      </w:r>
      <w:r>
        <w:rPr>
          <w:rFonts w:ascii="仿宋_GB2312" w:hAnsi="宋体"/>
        </w:rPr>
        <w:t>10</w:t>
      </w:r>
      <w:r>
        <w:rPr>
          <w:rFonts w:hint="eastAsia" w:ascii="仿宋_GB2312" w:hAnsi="宋体"/>
        </w:rPr>
        <w:t>米进行控制。</w:t>
      </w:r>
    </w:p>
    <w:p w14:paraId="7238A749">
      <w:pPr>
        <w:ind w:firstLine="640"/>
        <w:rPr>
          <w:rFonts w:ascii="仿宋_GB2312" w:hAnsi="宋体"/>
        </w:rPr>
      </w:pPr>
      <w:r>
        <w:rPr>
          <w:rFonts w:hint="eastAsia" w:ascii="仿宋_GB2312" w:hAnsi="楷体" w:cs="仿宋_GB2312"/>
          <w:lang w:bidi="ar"/>
        </w:rPr>
        <w:t>乡道和通村道路。</w:t>
      </w:r>
      <w:r>
        <w:rPr>
          <w:rFonts w:hint="eastAsia" w:ascii="仿宋_GB2312" w:hAnsi="宋体"/>
        </w:rPr>
        <w:t>乡域内的乡道及通村道路作为乡域内的主要道路，联系规模较大的聚居点，逐步改造成水泥路面。</w:t>
      </w:r>
    </w:p>
    <w:p w14:paraId="4A7EEAC6">
      <w:pPr>
        <w:pStyle w:val="3"/>
        <w:widowControl/>
        <w:ind w:firstLine="0" w:firstLineChars="0"/>
      </w:pPr>
      <w:bookmarkStart w:id="107" w:name="_Toc178165673"/>
      <w:bookmarkStart w:id="108" w:name="_Toc240028056"/>
      <w:r>
        <w:rPr>
          <w:rFonts w:hint="eastAsia" w:cs="黑体"/>
        </w:rPr>
        <w:t>第二节</w:t>
      </w:r>
      <w:r>
        <w:t xml:space="preserve"> </w:t>
      </w:r>
      <w:r>
        <w:rPr>
          <w:rFonts w:hint="eastAsia" w:cs="黑体"/>
        </w:rPr>
        <w:t>公共服务设施</w:t>
      </w:r>
      <w:bookmarkEnd w:id="107"/>
      <w:bookmarkEnd w:id="108"/>
    </w:p>
    <w:p w14:paraId="74F94C31">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公共服务设施体系及配置标准</w:t>
      </w:r>
    </w:p>
    <w:p w14:paraId="44D4B627">
      <w:pPr>
        <w:ind w:firstLine="640"/>
        <w:rPr>
          <w:rFonts w:cs="Times New Roman"/>
          <w:lang w:bidi="ar"/>
        </w:rPr>
      </w:pPr>
      <w:r>
        <w:rPr>
          <w:rFonts w:hint="eastAsia" w:cs="Times New Roman"/>
          <w:lang w:bidi="ar"/>
        </w:rPr>
        <w:t>构建“乡级－村</w:t>
      </w:r>
      <w:r>
        <w:rPr>
          <w:rFonts w:cs="Times New Roman"/>
          <w:lang w:bidi="ar"/>
        </w:rPr>
        <w:t>/</w:t>
      </w:r>
      <w:r>
        <w:rPr>
          <w:rFonts w:hint="eastAsia" w:cs="Times New Roman"/>
          <w:lang w:bidi="ar"/>
        </w:rPr>
        <w:t>组”两个生活圈层级，强化县域与乡村层面对农村基本公共服务供给的统筹。依托乡政府驻地所在地，统筹布局满足乡村居民日常生活、生产需求的各类服务要素，形成乡村生活圈的服务核心。依托行政村、集中居民点或自然村组，综合考虑乡村居民常用交通方式，按照</w:t>
      </w:r>
      <w:r>
        <w:rPr>
          <w:rFonts w:cs="Times New Roman"/>
          <w:lang w:bidi="ar"/>
        </w:rPr>
        <w:t>10</w:t>
      </w:r>
      <w:r>
        <w:rPr>
          <w:rFonts w:hint="eastAsia" w:cs="Times New Roman"/>
          <w:lang w:bidi="ar"/>
        </w:rPr>
        <w:t>分钟可达的空间尺度，配置满足就近使用需求的服务要素，并注重相邻村庄之间服务要素的错位配置和共享使用。乡政府驻地层级宜配置卫生服务站、老年活动室、老年人日间照料中心、幼儿园、文化活动室、室外综合健身场地等服务要素。老年活动室、文化活动室、便民农家店、村务室等服务要素。</w:t>
      </w:r>
    </w:p>
    <w:p w14:paraId="40692BEE">
      <w:pPr>
        <w:ind w:firstLine="640"/>
        <w:rPr>
          <w:rFonts w:ascii="仿宋_GB2312" w:cs="仿宋_GB2312"/>
        </w:rPr>
      </w:pPr>
      <w:r>
        <w:rPr>
          <w:rFonts w:hint="eastAsia" w:ascii="仿宋_GB2312" w:cs="仿宋_GB2312"/>
          <w:lang w:bidi="ar"/>
        </w:rPr>
        <w:t>原则上以行政村为范围划定村级服务圈。后头乡5个行政村（43个自然屯）作为独立乡村生活圈，划分为5个乡村生活圈。</w:t>
      </w:r>
    </w:p>
    <w:p w14:paraId="54F741B1">
      <w:pPr>
        <w:ind w:firstLine="640"/>
        <w:rPr>
          <w:rFonts w:cs="Times New Roman"/>
          <w:lang w:bidi="ar"/>
        </w:rPr>
      </w:pPr>
      <w:r>
        <w:rPr>
          <w:rFonts w:hint="eastAsia" w:ascii="仿宋_GB2312" w:cs="仿宋_GB2312"/>
          <w:lang w:bidi="ar"/>
        </w:rPr>
        <w:t>乡村生活圈宜配置村卫生室、老年活动室、文化活动室、便民农家店等服务要素。改造提升农村寄递物流基础设施，推进电子商务进农村和农产品出村进乡。可配置村级幸福大院、老年人日间照料中心、村幼儿园、健身广场、垃圾收集点、公共厕所、小型排污设施等服务要素。</w:t>
      </w:r>
    </w:p>
    <w:p w14:paraId="1A65894E">
      <w:pPr>
        <w:pStyle w:val="25"/>
        <w:widowControl/>
        <w:numPr>
          <w:ilvl w:val="0"/>
          <w:numId w:val="2"/>
        </w:numPr>
        <w:spacing w:before="312" w:beforeLines="100" w:after="156" w:afterLines="50"/>
        <w:ind w:left="0" w:firstLine="0" w:firstLineChars="0"/>
        <w:rPr>
          <w:rFonts w:ascii="楷体" w:hAnsi="楷体" w:eastAsia="仿宋_GB2312" w:cs="黑体"/>
          <w:szCs w:val="32"/>
          <w:lang w:bidi="ar"/>
        </w:rPr>
      </w:pPr>
      <w:r>
        <w:rPr>
          <w:rFonts w:hint="eastAsia" w:ascii="楷体" w:hAnsi="楷体" w:eastAsia="仿宋_GB2312" w:cs="黑体"/>
          <w:szCs w:val="32"/>
          <w:lang w:bidi="ar"/>
        </w:rPr>
        <w:t>公共服务设施体系布局</w:t>
      </w:r>
    </w:p>
    <w:p w14:paraId="3ADC5B22">
      <w:pPr>
        <w:pStyle w:val="19"/>
        <w:ind w:firstLine="640"/>
        <w:rPr>
          <w:rFonts w:eastAsia="楷体" w:cs="Times New Roman"/>
        </w:rPr>
      </w:pPr>
      <w:r>
        <w:rPr>
          <w:rFonts w:hint="eastAsia" w:eastAsia="楷体" w:cs="Times New Roman"/>
        </w:rPr>
        <w:t>1</w:t>
      </w:r>
      <w:r>
        <w:rPr>
          <w:rFonts w:eastAsia="楷体" w:cs="Times New Roman"/>
        </w:rPr>
        <w:t>.文化服务体系</w:t>
      </w:r>
    </w:p>
    <w:p w14:paraId="4568A63D">
      <w:pPr>
        <w:ind w:firstLine="640"/>
        <w:rPr>
          <w:rFonts w:ascii="仿宋_GB2312" w:hAnsi="宋体"/>
        </w:rPr>
      </w:pPr>
      <w:r>
        <w:rPr>
          <w:rFonts w:ascii="仿宋_GB2312" w:hAnsi="宋体"/>
        </w:rPr>
        <w:t>建立健全村</w:t>
      </w:r>
      <w:r>
        <w:rPr>
          <w:rFonts w:hint="eastAsia" w:ascii="仿宋_GB2312" w:hAnsi="宋体"/>
        </w:rPr>
        <w:t>级/组</w:t>
      </w:r>
      <w:r>
        <w:rPr>
          <w:rFonts w:ascii="仿宋_GB2312" w:hAnsi="宋体"/>
        </w:rPr>
        <w:t>级文化设施体系，形成布点周全、功能齐全的文化设施网络。</w:t>
      </w:r>
      <w:r>
        <w:rPr>
          <w:rFonts w:hint="eastAsia" w:ascii="仿宋_GB2312" w:hAnsi="宋体"/>
        </w:rPr>
        <w:t>加强基层综合性文体服务中心建设，实现公共文体服务设施全覆盖，提升服务效能，满足人民群众日益增长的需求。</w:t>
      </w:r>
      <w:r>
        <w:rPr>
          <w:rFonts w:ascii="仿宋_GB2312" w:hAnsi="宋体"/>
        </w:rPr>
        <w:t>每个村原则上设置综合文化站1处，完善现代公共文化服务体系。</w:t>
      </w:r>
    </w:p>
    <w:p w14:paraId="77D8D0CD">
      <w:pPr>
        <w:pStyle w:val="19"/>
        <w:ind w:firstLine="640"/>
        <w:rPr>
          <w:rFonts w:eastAsia="楷体" w:cs="Times New Roman"/>
        </w:rPr>
      </w:pPr>
      <w:r>
        <w:rPr>
          <w:rFonts w:hint="eastAsia" w:eastAsia="楷体" w:cs="Times New Roman"/>
        </w:rPr>
        <w:t>2</w:t>
      </w:r>
      <w:r>
        <w:rPr>
          <w:rFonts w:eastAsia="楷体" w:cs="Times New Roman"/>
        </w:rPr>
        <w:t>.</w:t>
      </w:r>
      <w:r>
        <w:rPr>
          <w:rFonts w:hint="eastAsia" w:eastAsia="楷体" w:cs="Times New Roman"/>
        </w:rPr>
        <w:t>教育设施体系</w:t>
      </w:r>
    </w:p>
    <w:p w14:paraId="6C661792">
      <w:pPr>
        <w:ind w:firstLine="640"/>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发展优质均衡的基础教育，全面提升幼儿园办园质量，扩大优质学前教育覆盖面，保障学生就近享有高质量的教育。依托乡政府驻地的小学和中学，完善教育资源。原则上乡域内不再规划新增初中学校。小学教育资源按村内适龄儿童数量进行确定，行政主管部门可结合实际需求设置教学点并在相应村庄规划中落位。</w:t>
      </w:r>
    </w:p>
    <w:p w14:paraId="1B0C04D9">
      <w:pPr>
        <w:pStyle w:val="19"/>
        <w:ind w:firstLine="640"/>
        <w:rPr>
          <w:rFonts w:eastAsia="楷体" w:cs="Times New Roman"/>
        </w:rPr>
      </w:pPr>
      <w:r>
        <w:rPr>
          <w:rFonts w:hint="eastAsia" w:eastAsia="楷体" w:cs="Times New Roman"/>
        </w:rPr>
        <w:t>3</w:t>
      </w:r>
      <w:r>
        <w:rPr>
          <w:rFonts w:eastAsia="楷体" w:cs="Times New Roman"/>
        </w:rPr>
        <w:t>.医疗卫生体系</w:t>
      </w:r>
    </w:p>
    <w:p w14:paraId="635EB751">
      <w:pPr>
        <w:pStyle w:val="19"/>
        <w:ind w:firstLine="640"/>
        <w:rPr>
          <w:rFonts w:ascii="仿宋_GB2312" w:hAnsi="宋体"/>
        </w:rPr>
      </w:pPr>
      <w:r>
        <w:rPr>
          <w:rFonts w:ascii="仿宋_GB2312" w:hAnsi="宋体"/>
        </w:rPr>
        <w:t>提升综合医疗卫生服务能力，加</w:t>
      </w:r>
      <w:r>
        <w:rPr>
          <w:rFonts w:hint="eastAsia" w:ascii="仿宋_GB2312" w:hAnsi="宋体"/>
        </w:rPr>
        <w:t>快推进医疗联合体建设，积极推进分级诊疗制度建设。提升基层医疗卫生服务能力，</w:t>
      </w:r>
      <w:r>
        <w:rPr>
          <w:rFonts w:hint="eastAsia"/>
          <w:color w:val="000000" w:themeColor="text1"/>
          <w:kern w:val="0"/>
          <w14:textFill>
            <w14:solidFill>
              <w14:schemeClr w14:val="tx1"/>
            </w14:solidFill>
          </w14:textFill>
        </w:rPr>
        <w:t>以乡政府驻地的乡卫生院为医疗卫生服务核心设施，</w:t>
      </w:r>
      <w:r>
        <w:rPr>
          <w:rFonts w:ascii="仿宋_GB2312" w:hAnsi="宋体"/>
        </w:rPr>
        <w:t>每个村设置村卫生室1处，形成覆盖全生命周期、满足多层次需求的卫生健康服务体系。</w:t>
      </w:r>
    </w:p>
    <w:p w14:paraId="49ECD87D">
      <w:pPr>
        <w:ind w:firstLine="640"/>
        <w:rPr>
          <w:rFonts w:eastAsia="楷体" w:cs="Times New Roman"/>
        </w:rPr>
      </w:pPr>
      <w:r>
        <w:rPr>
          <w:rFonts w:eastAsia="楷体" w:cs="Times New Roman"/>
        </w:rPr>
        <w:t>4.社会福利体系</w:t>
      </w:r>
    </w:p>
    <w:p w14:paraId="56DD0DE6">
      <w:pPr>
        <w:pStyle w:val="19"/>
        <w:ind w:firstLine="640"/>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适应农村人口</w:t>
      </w:r>
      <w:r>
        <w:rPr>
          <w:rFonts w:hint="eastAsia" w:ascii="仿宋_GB2312" w:hAnsi="宋体"/>
        </w:rPr>
        <w:t>老龄化加剧形势，以乡政府驻地的养老中心为养老服务核心，</w:t>
      </w:r>
      <w:r>
        <w:rPr>
          <w:rFonts w:ascii="仿宋_GB2312" w:hAnsi="宋体"/>
        </w:rPr>
        <w:t>每个村庄鼓励设置农村幸福院1处。</w:t>
      </w:r>
      <w:r>
        <w:rPr>
          <w:rFonts w:hint="eastAsia" w:ascii="仿宋_GB2312" w:hAnsi="宋体"/>
        </w:rPr>
        <w:t>提高乡村卫生服务机构为老年人提供医疗保健服务的能力，支持主要面向失能、半失能老年人的农村养</w:t>
      </w:r>
      <w:r>
        <w:rPr>
          <w:rFonts w:hint="eastAsia"/>
          <w:color w:val="000000" w:themeColor="text1"/>
          <w:kern w:val="0"/>
          <w14:textFill>
            <w14:solidFill>
              <w14:schemeClr w14:val="tx1"/>
            </w14:solidFill>
          </w14:textFill>
        </w:rPr>
        <w:t>老服务设施建设，推进农村幸福院等互助性养老服务发展。开发农村康养产业项目，鼓励村集体建设用地优先用于发展养老服务。</w:t>
      </w:r>
    </w:p>
    <w:p w14:paraId="368A6BE1">
      <w:pPr>
        <w:ind w:firstLine="640"/>
        <w:rPr>
          <w:lang w:bidi="ar"/>
        </w:rPr>
      </w:pPr>
      <w:r>
        <w:rPr>
          <w:lang w:bidi="ar"/>
        </w:rPr>
        <w:br w:type="page"/>
      </w:r>
    </w:p>
    <w:p w14:paraId="2CEDEB6A">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109" w:name="_Toc153976310"/>
      <w:bookmarkStart w:id="110" w:name="_Toc101943675"/>
      <w:bookmarkStart w:id="111" w:name="_Toc178165677"/>
      <w:bookmarkStart w:id="112" w:name="_Toc240028057"/>
      <w:r>
        <w:rPr>
          <w:rFonts w:hint="eastAsia" w:ascii="方正小标宋_GBK" w:hAnsi="方正小标宋_GBK" w:eastAsia="方正小标宋_GBK" w:cs="黑体"/>
          <w:b w:val="0"/>
          <w:sz w:val="36"/>
          <w:szCs w:val="36"/>
        </w:rPr>
        <w:t>第八章 历史文化与地方特色</w:t>
      </w:r>
      <w:bookmarkEnd w:id="109"/>
      <w:bookmarkEnd w:id="110"/>
      <w:r>
        <w:rPr>
          <w:rFonts w:hint="eastAsia" w:ascii="方正小标宋_GBK" w:hAnsi="方正小标宋_GBK" w:eastAsia="方正小标宋_GBK" w:cs="黑体"/>
          <w:b w:val="0"/>
          <w:sz w:val="36"/>
          <w:szCs w:val="36"/>
        </w:rPr>
        <w:t>风貌</w:t>
      </w:r>
      <w:bookmarkEnd w:id="111"/>
      <w:bookmarkEnd w:id="112"/>
    </w:p>
    <w:p w14:paraId="50161422">
      <w:pPr>
        <w:pStyle w:val="3"/>
        <w:widowControl/>
        <w:ind w:firstLine="0" w:firstLineChars="0"/>
      </w:pPr>
      <w:bookmarkStart w:id="113" w:name="_Toc153976311"/>
      <w:bookmarkStart w:id="114" w:name="_Toc178165678"/>
      <w:bookmarkStart w:id="115" w:name="_Toc240028058"/>
      <w:r>
        <w:rPr>
          <w:rFonts w:hint="eastAsia" w:cs="黑体"/>
        </w:rPr>
        <w:t>第一节</w:t>
      </w:r>
      <w:r>
        <w:t xml:space="preserve"> </w:t>
      </w:r>
      <w:r>
        <w:rPr>
          <w:rFonts w:hint="eastAsia" w:cs="黑体"/>
        </w:rPr>
        <w:t>历史文化保护</w:t>
      </w:r>
      <w:bookmarkEnd w:id="113"/>
      <w:bookmarkEnd w:id="114"/>
      <w:bookmarkEnd w:id="115"/>
    </w:p>
    <w:p w14:paraId="32F9C8C2">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保护对象</w:t>
      </w:r>
    </w:p>
    <w:p w14:paraId="2FFA1DA2">
      <w:pPr>
        <w:ind w:firstLine="640"/>
      </w:pPr>
      <w:r>
        <w:rPr>
          <w:rFonts w:hint="eastAsia" w:cs="仿宋_GB2312"/>
          <w:lang w:bidi="ar"/>
        </w:rPr>
        <w:t>后头乡乡域内有未定级不可移动文物两处，为侯家屯遗址、振东村抗日斗争纪念碑革命烈士关树勋之墓。</w:t>
      </w:r>
    </w:p>
    <w:p w14:paraId="593BAF4D">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保护范围要求</w:t>
      </w:r>
    </w:p>
    <w:p w14:paraId="45EBBBAD">
      <w:pPr>
        <w:ind w:firstLine="640"/>
        <w:rPr>
          <w:rFonts w:cs="Times New Roman"/>
          <w:lang w:bidi="ar"/>
        </w:rPr>
      </w:pPr>
      <w:r>
        <w:rPr>
          <w:rFonts w:hint="eastAsia" w:cs="Times New Roman"/>
          <w:lang w:bidi="ar"/>
        </w:rPr>
        <w:t>严格执行《中华人民共和国文物保护法》，坚持“保护为主、抢救第一、合理利用、加强管理”的原则，对文物古迹进行全面保护和快速抢救。加强不可移动文物的“四有”工作，划定核心保护范围和建设控制地带，对各级不可移动文物提出必要的保护措施和要求。加大文物建筑开放力度，更好地发挥文化遗产的社会、经济、文化价值。</w:t>
      </w:r>
    </w:p>
    <w:p w14:paraId="65613BA5">
      <w:pPr>
        <w:pStyle w:val="3"/>
        <w:widowControl/>
        <w:ind w:firstLine="0" w:firstLineChars="0"/>
      </w:pPr>
      <w:bookmarkStart w:id="116" w:name="_Toc178165679"/>
      <w:bookmarkStart w:id="117" w:name="_Toc240028059"/>
      <w:r>
        <w:rPr>
          <w:rFonts w:hint="eastAsia" w:cs="黑体"/>
        </w:rPr>
        <w:t>第二节</w:t>
      </w:r>
      <w:bookmarkStart w:id="118" w:name="_Toc101943677"/>
      <w:r>
        <w:t xml:space="preserve"> </w:t>
      </w:r>
      <w:bookmarkEnd w:id="118"/>
      <w:r>
        <w:rPr>
          <w:rFonts w:hint="eastAsia" w:cs="黑体"/>
        </w:rPr>
        <w:t>风貌引导</w:t>
      </w:r>
      <w:bookmarkEnd w:id="116"/>
      <w:bookmarkEnd w:id="117"/>
    </w:p>
    <w:p w14:paraId="2818964E">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风貌定位与格局</w:t>
      </w:r>
    </w:p>
    <w:p w14:paraId="11038401">
      <w:pPr>
        <w:spacing w:line="240" w:lineRule="auto"/>
        <w:ind w:firstLine="640"/>
      </w:pPr>
      <w:r>
        <w:rPr>
          <w:rFonts w:hint="eastAsia" w:cs="仿宋_GB2312"/>
          <w:lang w:bidi="ar"/>
        </w:rPr>
        <w:t>凸显农业特色和绿色生态种植业，保护以旱地为主的黑色沃土，充分展现“北国黑土、中华粮仓”的壮美景观。</w:t>
      </w:r>
    </w:p>
    <w:p w14:paraId="19393E5F">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风貌分区与引导</w:t>
      </w:r>
    </w:p>
    <w:p w14:paraId="7BB512D6">
      <w:pPr>
        <w:spacing w:line="240" w:lineRule="auto"/>
        <w:ind w:firstLine="640"/>
      </w:pPr>
      <w:r>
        <w:rPr>
          <w:rFonts w:hint="eastAsia" w:cs="仿宋_GB2312"/>
          <w:lang w:bidi="ar"/>
        </w:rPr>
        <w:t>后头乡全域景观体系以两路、两水为轴，向东西纵深展开，打造田野风光景观体系。后头乡</w:t>
      </w:r>
      <w:r>
        <w:rPr>
          <w:rFonts w:hint="eastAsia" w:ascii="仿宋_GB2312" w:cs="仿宋_GB2312"/>
          <w:lang w:bidi="ar"/>
        </w:rPr>
        <w:t>风貌定位为“两水相依、林</w:t>
      </w:r>
      <w:r>
        <w:rPr>
          <w:rFonts w:hint="eastAsia" w:cs="仿宋_GB2312"/>
          <w:lang w:bidi="ar"/>
        </w:rPr>
        <w:t>田</w:t>
      </w:r>
      <w:r>
        <w:rPr>
          <w:rFonts w:hint="eastAsia" w:ascii="仿宋_GB2312" w:cs="仿宋_GB2312"/>
          <w:lang w:bidi="ar"/>
        </w:rPr>
        <w:t>交织、美村交融”。</w:t>
      </w:r>
      <w:r>
        <w:rPr>
          <w:rFonts w:hint="eastAsia" w:cs="仿宋_GB2312"/>
          <w:lang w:bidi="ar"/>
        </w:rPr>
        <w:t>重点建设三大景观风貌区，包括田园景观风貌区、乡村景观风貌区和生态种植风貌区。</w:t>
      </w:r>
    </w:p>
    <w:p w14:paraId="6055E336">
      <w:pPr>
        <w:spacing w:line="240" w:lineRule="auto"/>
        <w:ind w:firstLine="640"/>
      </w:pPr>
      <w:r>
        <w:rPr>
          <w:rFonts w:hint="eastAsia" w:cs="仿宋_GB2312"/>
          <w:lang w:bidi="ar"/>
        </w:rPr>
        <w:t>根据后头乡的自然景观，强化绿色食品产业基地、风景旅游胜地、生态宜居乡村等发展目标，突出大美后头乡的风貌形象，对三大景观风貌区进行管控。</w:t>
      </w:r>
    </w:p>
    <w:p w14:paraId="5FF78EB0">
      <w:pPr>
        <w:spacing w:line="240" w:lineRule="auto"/>
        <w:ind w:firstLine="640"/>
      </w:pPr>
      <w:r>
        <w:rPr>
          <w:rStyle w:val="28"/>
          <w:rFonts w:hint="eastAsia"/>
        </w:rPr>
        <w:t>田园景观风貌区</w:t>
      </w:r>
      <w:r>
        <w:rPr>
          <w:rFonts w:hint="eastAsia" w:eastAsia="楷体_GB2312" w:cs="Times New Roman"/>
          <w:lang w:bidi="ar"/>
        </w:rPr>
        <w:t>。</w:t>
      </w:r>
      <w:r>
        <w:rPr>
          <w:rFonts w:hint="eastAsia" w:cs="仿宋_GB2312"/>
          <w:lang w:bidi="ar"/>
        </w:rPr>
        <w:t>围绕国家粮食安全保障，大力发展现代农业，推进农业生产规模化、智能化、合作化、集约化发展，实现“优质、高效、安全、生态”的黑土地绿色发展。</w:t>
      </w:r>
    </w:p>
    <w:p w14:paraId="0203C73B">
      <w:pPr>
        <w:spacing w:line="240" w:lineRule="auto"/>
        <w:ind w:firstLine="640"/>
      </w:pPr>
      <w:r>
        <w:rPr>
          <w:rStyle w:val="28"/>
          <w:rFonts w:hint="eastAsia"/>
        </w:rPr>
        <w:t>乡村景观风貌区。</w:t>
      </w:r>
      <w:r>
        <w:rPr>
          <w:rFonts w:hint="eastAsia" w:cs="仿宋_GB2312"/>
          <w:lang w:bidi="ar"/>
        </w:rPr>
        <w:t>全面塑造“农田集中连片、农业规模经营、乡村美丽宜居、产业融合发展”的美丽新格局。对零星分散自然村组和农村低效废弃工矿用地实施建设用地复垦，大力发展高效农业，推进“一村一品”建设，展示集农业科普观光、新品种展示、新技术推广的美丽绿色休闲农业风貌。</w:t>
      </w:r>
    </w:p>
    <w:p w14:paraId="604D5C73">
      <w:pPr>
        <w:widowControl/>
        <w:ind w:firstLine="640"/>
        <w:rPr>
          <w:rFonts w:cs="Times New Roman"/>
          <w:lang w:bidi="ar"/>
        </w:rPr>
      </w:pPr>
      <w:r>
        <w:rPr>
          <w:rFonts w:hint="eastAsia" w:hAnsi="宋体" w:eastAsia="楷体_GB2312" w:cs="Times New Roman"/>
          <w:lang w:bidi="ar"/>
        </w:rPr>
        <w:t>休闲景观风貌区。</w:t>
      </w:r>
      <w:r>
        <w:rPr>
          <w:rFonts w:hint="eastAsia" w:cs="Times New Roman"/>
          <w:lang w:bidi="ar"/>
        </w:rPr>
        <w:t>延续</w:t>
      </w:r>
      <w:r>
        <w:rPr>
          <w:rFonts w:hint="eastAsia" w:cs="仿宋_GB2312"/>
          <w:lang w:bidi="ar"/>
        </w:rPr>
        <w:t>乡域</w:t>
      </w:r>
      <w:r>
        <w:rPr>
          <w:rFonts w:hint="eastAsia" w:cs="Times New Roman"/>
          <w:lang w:bidi="ar"/>
        </w:rPr>
        <w:t>特色，通过对自然水系、开放空间、景观视廊、建筑要素的控制，提升</w:t>
      </w:r>
      <w:r>
        <w:rPr>
          <w:rFonts w:hint="eastAsia" w:cs="仿宋_GB2312"/>
          <w:lang w:bidi="ar"/>
        </w:rPr>
        <w:t>乡域</w:t>
      </w:r>
      <w:r>
        <w:rPr>
          <w:rFonts w:hint="eastAsia" w:cs="Times New Roman"/>
          <w:lang w:bidi="ar"/>
        </w:rPr>
        <w:t>景观品质，营造田、水、绿交融的田园</w:t>
      </w:r>
      <w:r>
        <w:rPr>
          <w:rFonts w:hint="eastAsia" w:cs="仿宋_GB2312"/>
          <w:lang w:bidi="ar"/>
        </w:rPr>
        <w:t>乡域</w:t>
      </w:r>
      <w:r>
        <w:rPr>
          <w:rFonts w:hint="eastAsia" w:cs="Times New Roman"/>
          <w:lang w:bidi="ar"/>
        </w:rPr>
        <w:t>风貌。</w:t>
      </w:r>
    </w:p>
    <w:p w14:paraId="04C5B481">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119" w:name="_Toc153976313"/>
      <w:bookmarkStart w:id="120" w:name="_Toc178165680"/>
      <w:bookmarkStart w:id="121" w:name="_Toc240028060"/>
      <w:r>
        <w:rPr>
          <w:rFonts w:hint="eastAsia" w:ascii="方正小标宋_GBK" w:hAnsi="方正小标宋_GBK" w:eastAsia="方正小标宋_GBK" w:cs="黑体"/>
          <w:b w:val="0"/>
          <w:sz w:val="36"/>
          <w:szCs w:val="36"/>
        </w:rPr>
        <w:t>第九章 生态修复与国土综合整治</w:t>
      </w:r>
      <w:bookmarkEnd w:id="119"/>
      <w:bookmarkEnd w:id="120"/>
      <w:bookmarkEnd w:id="121"/>
      <w:r>
        <w:rPr>
          <w:rFonts w:hint="eastAsia" w:ascii="方正小标宋_GBK" w:hAnsi="方正小标宋_GBK" w:eastAsia="方正小标宋_GBK" w:cs="黑体"/>
          <w:b w:val="0"/>
          <w:sz w:val="36"/>
          <w:szCs w:val="36"/>
        </w:rPr>
        <w:tab/>
      </w:r>
    </w:p>
    <w:p w14:paraId="4816E19F">
      <w:pPr>
        <w:pStyle w:val="3"/>
        <w:widowControl/>
        <w:ind w:firstLine="0" w:firstLineChars="0"/>
      </w:pPr>
      <w:bookmarkStart w:id="122" w:name="_Toc240028061"/>
      <w:bookmarkStart w:id="123" w:name="_Toc178165681"/>
      <w:bookmarkStart w:id="124" w:name="_Toc153976314"/>
      <w:r>
        <w:rPr>
          <w:rFonts w:hint="eastAsia" w:cs="黑体"/>
        </w:rPr>
        <w:t>第一节</w:t>
      </w:r>
      <w:r>
        <w:t xml:space="preserve"> </w:t>
      </w:r>
      <w:r>
        <w:rPr>
          <w:rFonts w:hint="eastAsia" w:cs="黑体"/>
        </w:rPr>
        <w:t>生态修复</w:t>
      </w:r>
      <w:bookmarkEnd w:id="122"/>
      <w:bookmarkEnd w:id="123"/>
      <w:bookmarkEnd w:id="124"/>
    </w:p>
    <w:p w14:paraId="3B60BAAE">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国土空间生态修复</w:t>
      </w:r>
    </w:p>
    <w:p w14:paraId="40DD7F1E">
      <w:pPr>
        <w:spacing w:before="312" w:beforeLines="100" w:after="156" w:afterLines="50"/>
        <w:ind w:firstLine="640"/>
        <w:rPr>
          <w:rFonts w:cs="Times New Roman"/>
          <w:lang w:bidi="ar"/>
        </w:rPr>
      </w:pPr>
      <w:r>
        <w:rPr>
          <w:rFonts w:ascii="仿宋_GB2312"/>
          <w:color w:val="000000"/>
        </w:rPr>
        <w:t>实施生态保护修复工程，大力推进</w:t>
      </w:r>
      <w:r>
        <w:rPr>
          <w:rFonts w:hint="eastAsia" w:ascii="仿宋_GB2312"/>
          <w:color w:val="000000"/>
        </w:rPr>
        <w:t>水土保持及防风固沙功能提升工程</w:t>
      </w:r>
      <w:r>
        <w:rPr>
          <w:rFonts w:ascii="仿宋_GB2312"/>
          <w:color w:val="000000"/>
        </w:rPr>
        <w:t>，</w:t>
      </w:r>
      <w:r>
        <w:rPr>
          <w:rFonts w:hint="eastAsia" w:ascii="仿宋_GB2312"/>
          <w:color w:val="000000"/>
        </w:rPr>
        <w:t>改善水土保持能力、提高防风固沙能力。</w:t>
      </w:r>
      <w:r>
        <w:rPr>
          <w:rFonts w:ascii="仿宋_GB2312"/>
          <w:color w:val="000000"/>
        </w:rPr>
        <w:t>稳步提升</w:t>
      </w:r>
      <w:r>
        <w:rPr>
          <w:rFonts w:hint="eastAsia" w:ascii="仿宋_GB2312"/>
          <w:color w:val="000000"/>
        </w:rPr>
        <w:t>全乡</w:t>
      </w:r>
      <w:r>
        <w:rPr>
          <w:rFonts w:ascii="仿宋_GB2312"/>
          <w:color w:val="000000"/>
        </w:rPr>
        <w:t>绿地面积、质量、保护体系，建立保护立法，制定科学规划以国土绿化为统揽，充分结合农业、水利等方面的建设来加强生态保护。</w:t>
      </w:r>
    </w:p>
    <w:p w14:paraId="2C9A031A">
      <w:pPr>
        <w:pStyle w:val="3"/>
        <w:widowControl/>
        <w:ind w:firstLine="0" w:firstLineChars="0"/>
      </w:pPr>
      <w:bookmarkStart w:id="125" w:name="_Toc178165682"/>
      <w:bookmarkStart w:id="126" w:name="_Toc153976315"/>
      <w:bookmarkStart w:id="127" w:name="_Toc240028062"/>
      <w:r>
        <w:rPr>
          <w:rFonts w:hint="eastAsia" w:cs="黑体"/>
        </w:rPr>
        <w:t>第二节</w:t>
      </w:r>
      <w:r>
        <w:t xml:space="preserve"> </w:t>
      </w:r>
      <w:bookmarkEnd w:id="125"/>
      <w:bookmarkEnd w:id="126"/>
      <w:r>
        <w:rPr>
          <w:rFonts w:hint="eastAsia" w:cs="黑体"/>
        </w:rPr>
        <w:t>国土综合整治</w:t>
      </w:r>
      <w:bookmarkEnd w:id="127"/>
    </w:p>
    <w:p w14:paraId="1F6C3CBE">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农用地综合整治</w:t>
      </w:r>
    </w:p>
    <w:p w14:paraId="67512042">
      <w:pPr>
        <w:ind w:firstLine="640"/>
      </w:pPr>
      <w:r>
        <w:rPr>
          <w:rFonts w:hint="eastAsia" w:cs="仿宋_GB2312"/>
          <w:lang w:bidi="ar"/>
        </w:rPr>
        <w:t>深入贯彻落实乡村振兴战略，推进乡村全域土地综合整治，以乡域整体或部分行政村为基本单元，通过全域规划、整体设计、综合治理，因地制宜、多措并举，整体推进农用地整理、村庄建设用地整理和乡村人居环境整治，解决乡村融合发展和农村一二三产业融合发展用地保障，改善农村人居环境，促进农村产业兴旺，助力建成一批村镇美丽集聚、环境宜居宜业、产业融合发展的示范乡村。</w:t>
      </w:r>
      <w:bookmarkStart w:id="128" w:name="_Toc8902569"/>
      <w:bookmarkEnd w:id="128"/>
      <w:bookmarkStart w:id="129" w:name="_Toc8902730"/>
      <w:bookmarkEnd w:id="129"/>
      <w:bookmarkStart w:id="130" w:name="_Toc8902606"/>
      <w:bookmarkEnd w:id="130"/>
      <w:bookmarkStart w:id="131" w:name="_Toc8902928"/>
      <w:bookmarkEnd w:id="131"/>
      <w:bookmarkStart w:id="132" w:name="_Toc8902767"/>
      <w:bookmarkEnd w:id="132"/>
      <w:bookmarkStart w:id="133" w:name="_Toc8902891"/>
      <w:bookmarkEnd w:id="133"/>
    </w:p>
    <w:p w14:paraId="563B4284">
      <w:pPr>
        <w:ind w:firstLine="640"/>
      </w:pPr>
      <w:r>
        <w:rPr>
          <w:rStyle w:val="28"/>
          <w:rFonts w:hint="eastAsia"/>
        </w:rPr>
        <w:t>高标准农田建设重点工程。</w:t>
      </w:r>
      <w:r>
        <w:rPr>
          <w:rFonts w:hint="eastAsia" w:cs="仿宋_GB2312"/>
          <w:lang w:bidi="ar"/>
        </w:rPr>
        <w:t>按照“集中连片、旱涝保收、节水高效、稳产高产、生态友好”的要求，推动高标准农田“田、土、水、路、林、电、技、管”综合治理，建成“田成方、林成网、路相通、渠相连、旱能灌、涝能排、机能行”的高标准农田，有效解决农田灌排设施不配套、机械通行下田作业难等问题，推动农业的规模化生产、机械化作业，提高农业土地产出率和劳动生产率。</w:t>
      </w:r>
    </w:p>
    <w:p w14:paraId="38130B32">
      <w:pPr>
        <w:ind w:firstLine="640"/>
        <w:rPr>
          <w:rFonts w:ascii="Calibri" w:hAnsi="Calibri" w:eastAsia="楷体" w:cs="楷体"/>
          <w:szCs w:val="22"/>
          <w:lang w:bidi="ar"/>
        </w:rPr>
      </w:pPr>
      <w:r>
        <w:rPr>
          <w:rStyle w:val="28"/>
          <w:rFonts w:hint="eastAsia"/>
        </w:rPr>
        <w:t>其他农用地整理工程。</w:t>
      </w:r>
      <w:r>
        <w:rPr>
          <w:rFonts w:hint="eastAsia" w:cs="仿宋_GB2312"/>
          <w:lang w:bidi="ar"/>
        </w:rPr>
        <w:t>推进设施农业、休闲农业所需园地、林地、草地等用地整治和规划建设。合理开发荒地、荒山、滩地等未利用地，综合整治养殖池塘，促进农业多种经营。积极开展中低产园地整理，完善配套基础设施，促进园地集约利用、规模生产，发展特色品种、农产品加工和休闲农业，提高园地综合效益。充分利用荒山荒坡、沙荒地造林，扩大林地面积，有效改善生态环境。</w:t>
      </w:r>
    </w:p>
    <w:p w14:paraId="5A29F5E0">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建设用地综合整治</w:t>
      </w:r>
    </w:p>
    <w:p w14:paraId="2A48C734">
      <w:pPr>
        <w:spacing w:before="312" w:beforeLines="100" w:after="156" w:afterLines="50"/>
        <w:ind w:firstLine="640"/>
        <w:rPr>
          <w:rFonts w:cs="Times New Roman"/>
          <w:lang w:bidi="ar"/>
        </w:rPr>
      </w:pPr>
      <w:r>
        <w:rPr>
          <w:rFonts w:hint="eastAsia" w:cs="Times New Roman"/>
          <w:lang w:bidi="ar"/>
        </w:rPr>
        <w:t>在保障农户权益的基础上，实施村庄内部布局优化与用地挖潜，逐步提升用地效率。对村庄内部、交通条件较好、建设条件较好的闲置宅基地地块，优先满足村庄的基础设施、公共服务设施用地需求，也可作为乡村振兴需要配套的产业用地加以利用；对村庄边缘且与周边耕地相连的闲置宅基地，可直接退宅还耕，用于农业生产；对村庄内部零散的宅基地，退出后鼓励退出改为村集体共有的果园、菜园，通过长时间渐进式的动态调整与优化，实现村庄用地的缩减与人居环境的改善。</w:t>
      </w:r>
    </w:p>
    <w:p w14:paraId="21114F35">
      <w:pPr>
        <w:numPr>
          <w:ilvl w:val="0"/>
          <w:numId w:val="2"/>
        </w:numPr>
        <w:spacing w:before="312" w:beforeLines="100" w:after="156" w:afterLines="50"/>
        <w:ind w:left="0" w:firstLine="0" w:firstLineChars="0"/>
        <w:jc w:val="left"/>
        <w:rPr>
          <w:rFonts w:ascii="Calibri" w:hAnsi="Calibri" w:eastAsia="楷体" w:cs="楷体"/>
          <w:szCs w:val="22"/>
          <w:lang w:bidi="ar"/>
        </w:rPr>
      </w:pPr>
      <w:r>
        <w:t>开展宜耕后备土地资源开发与废弃土地复垦</w:t>
      </w:r>
    </w:p>
    <w:p w14:paraId="080D9198">
      <w:pPr>
        <w:spacing w:before="312" w:beforeLines="100" w:after="156" w:afterLines="50"/>
        <w:ind w:firstLine="640"/>
        <w:rPr>
          <w:rFonts w:cs="Times New Roman"/>
          <w:lang w:bidi="ar"/>
        </w:rPr>
      </w:pPr>
      <w:r>
        <w:rPr>
          <w:rFonts w:hint="eastAsia" w:cs="Times New Roman"/>
          <w:lang w:bidi="ar"/>
        </w:rPr>
        <w:t>在保证生态环境安全的前提下适度开发宜耕后备土地资源。加大力度推进废弃土地复垦。</w:t>
      </w:r>
    </w:p>
    <w:p w14:paraId="4694D1F1">
      <w:pPr>
        <w:ind w:firstLine="640"/>
        <w:rPr>
          <w:lang w:bidi="ar"/>
        </w:rPr>
      </w:pPr>
      <w:r>
        <w:rPr>
          <w:lang w:bidi="ar"/>
        </w:rPr>
        <w:br w:type="page"/>
      </w:r>
    </w:p>
    <w:p w14:paraId="7EB4C304">
      <w:pPr>
        <w:pStyle w:val="2"/>
        <w:widowControl/>
        <w:tabs>
          <w:tab w:val="left" w:pos="0"/>
        </w:tabs>
        <w:spacing w:before="360" w:after="120" w:line="560" w:lineRule="exact"/>
        <w:ind w:firstLine="198" w:firstLineChars="55"/>
        <w:jc w:val="center"/>
        <w:rPr>
          <w:rFonts w:ascii="方正小标宋_GBK" w:hAnsi="方正小标宋_GBK" w:eastAsia="方正小标宋_GBK" w:cs="黑体"/>
          <w:b w:val="0"/>
          <w:sz w:val="36"/>
          <w:szCs w:val="36"/>
        </w:rPr>
      </w:pPr>
      <w:bookmarkStart w:id="134" w:name="_Toc178165684"/>
      <w:bookmarkStart w:id="135" w:name="_Toc153976317"/>
      <w:bookmarkStart w:id="136" w:name="_Toc240028063"/>
      <w:r>
        <w:rPr>
          <w:rFonts w:hint="eastAsia" w:ascii="方正小标宋_GBK" w:hAnsi="方正小标宋_GBK" w:eastAsia="方正小标宋_GBK" w:cs="黑体"/>
          <w:b w:val="0"/>
          <w:sz w:val="36"/>
          <w:szCs w:val="36"/>
        </w:rPr>
        <w:t>第十章 规划传导与实施</w:t>
      </w:r>
      <w:bookmarkEnd w:id="134"/>
      <w:bookmarkEnd w:id="135"/>
      <w:bookmarkEnd w:id="136"/>
      <w:r>
        <w:rPr>
          <w:rFonts w:hint="eastAsia" w:ascii="方正小标宋_GBK" w:hAnsi="方正小标宋_GBK" w:eastAsia="方正小标宋_GBK" w:cs="黑体"/>
          <w:b w:val="0"/>
          <w:sz w:val="36"/>
          <w:szCs w:val="36"/>
        </w:rPr>
        <w:tab/>
      </w:r>
    </w:p>
    <w:p w14:paraId="418C6A1F">
      <w:pPr>
        <w:pStyle w:val="3"/>
        <w:widowControl/>
        <w:ind w:firstLine="0" w:firstLineChars="0"/>
      </w:pPr>
      <w:bookmarkStart w:id="137" w:name="_Toc153976318"/>
      <w:bookmarkStart w:id="138" w:name="_Toc240028064"/>
      <w:bookmarkStart w:id="139" w:name="_Toc178165685"/>
      <w:r>
        <w:rPr>
          <w:rFonts w:hint="eastAsia" w:cs="黑体"/>
        </w:rPr>
        <w:t>第一节</w:t>
      </w:r>
      <w:r>
        <w:t xml:space="preserve"> </w:t>
      </w:r>
      <w:r>
        <w:rPr>
          <w:rFonts w:hint="eastAsia" w:cs="黑体"/>
        </w:rPr>
        <w:t>规划传导与管控</w:t>
      </w:r>
      <w:bookmarkEnd w:id="137"/>
      <w:bookmarkEnd w:id="138"/>
      <w:bookmarkEnd w:id="139"/>
    </w:p>
    <w:p w14:paraId="318B54BC">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村庄“通则式”规划管理规定</w:t>
      </w:r>
    </w:p>
    <w:p w14:paraId="2F94F898">
      <w:pPr>
        <w:spacing w:after="156" w:afterLines="50"/>
        <w:ind w:firstLine="640"/>
        <w:rPr>
          <w:rFonts w:ascii="仿宋_GB2312" w:hAnsi="楷体" w:cs="仿宋_GB2312"/>
        </w:rPr>
      </w:pPr>
      <w:r>
        <w:rPr>
          <w:rFonts w:hint="eastAsia" w:cs="仿宋_GB2312"/>
          <w:lang w:bidi="ar"/>
        </w:rPr>
        <w:t>暂不编制村庄规划的村庄有</w:t>
      </w:r>
      <w:r>
        <w:rPr>
          <w:rFonts w:hint="eastAsia" w:ascii="仿宋_GB2312" w:hAnsi="楷体" w:cs="仿宋_GB2312"/>
          <w:lang w:bidi="ar"/>
        </w:rPr>
        <w:t>二井村、前头村、十五井村。</w:t>
      </w:r>
    </w:p>
    <w:p w14:paraId="2BA10E69">
      <w:pPr>
        <w:ind w:firstLine="640"/>
        <w:rPr>
          <w:rFonts w:cs="仿宋_GB2312"/>
          <w:lang w:bidi="ar"/>
        </w:rPr>
      </w:pPr>
      <w:r>
        <w:rPr>
          <w:rFonts w:hint="eastAsia" w:cs="仿宋_GB2312"/>
          <w:lang w:bidi="ar"/>
        </w:rPr>
        <w:t>通过用途管制规则和建设管控要求，作为乡村地区规划建设管理依据，审批核发乡村建设规划许可。编制并依法批准村庄规划的村庄，以村庄规划为依据审批核发乡村建设规划许可。</w:t>
      </w:r>
    </w:p>
    <w:p w14:paraId="1DD676BF">
      <w:pPr>
        <w:pStyle w:val="27"/>
        <w:ind w:left="640"/>
      </w:pPr>
      <w:r>
        <w:t>1.</w:t>
      </w:r>
      <w:r>
        <w:rPr>
          <w:rFonts w:hint="eastAsia"/>
        </w:rPr>
        <w:t>农村宅基地管控</w:t>
      </w:r>
    </w:p>
    <w:p w14:paraId="1A2B3DEA">
      <w:pPr>
        <w:ind w:firstLine="640"/>
        <w:rPr>
          <w:rFonts w:cs="仿宋_GB2312"/>
          <w:lang w:bidi="ar"/>
        </w:rPr>
      </w:pPr>
      <w:r>
        <w:rPr>
          <w:rFonts w:hint="eastAsia" w:cs="仿宋_GB2312"/>
          <w:lang w:bidi="ar"/>
        </w:rPr>
        <w:t>严格执行“一户一宅”制度标准，新建宅基地户均用地面积不得高于</w:t>
      </w:r>
      <w:r>
        <w:rPr>
          <w:rFonts w:cs="仿宋_GB2312"/>
          <w:lang w:bidi="ar"/>
        </w:rPr>
        <w:t>350</w:t>
      </w:r>
      <w:r>
        <w:rPr>
          <w:rFonts w:hint="eastAsia" w:cs="仿宋_GB2312"/>
          <w:lang w:bidi="ar"/>
        </w:rPr>
        <w:t>平方米，积极引导农村居民点集中建设，鼓励村民翻建农房，新建宅基地优先利用村内空闲地、闲置宅基地和其他现状建设用地。</w:t>
      </w:r>
    </w:p>
    <w:p w14:paraId="32D99357">
      <w:pPr>
        <w:ind w:firstLine="640"/>
        <w:rPr>
          <w:rFonts w:cs="仿宋_GB2312"/>
          <w:lang w:bidi="ar"/>
        </w:rPr>
      </w:pPr>
      <w:r>
        <w:rPr>
          <w:rFonts w:hint="eastAsia" w:cs="仿宋_GB2312"/>
          <w:lang w:bidi="ar"/>
        </w:rPr>
        <w:t>村民在宅基地上自建房的不超过</w:t>
      </w:r>
      <w:r>
        <w:rPr>
          <w:rFonts w:cs="仿宋_GB2312"/>
          <w:lang w:bidi="ar"/>
        </w:rPr>
        <w:t>2</w:t>
      </w:r>
      <w:r>
        <w:rPr>
          <w:rFonts w:hint="eastAsia" w:cs="仿宋_GB2312"/>
          <w:lang w:bidi="ar"/>
        </w:rPr>
        <w:t>层，单层建筑高度不大于</w:t>
      </w:r>
      <w:r>
        <w:rPr>
          <w:rFonts w:cs="仿宋_GB2312"/>
          <w:lang w:bidi="ar"/>
        </w:rPr>
        <w:t>4</w:t>
      </w:r>
      <w:r>
        <w:rPr>
          <w:rFonts w:hint="eastAsia" w:cs="仿宋_GB2312"/>
          <w:lang w:bidi="ar"/>
        </w:rPr>
        <w:t>米，并应符合村庄整体景观风貌控制要求，</w:t>
      </w:r>
      <w:r>
        <w:rPr>
          <w:rFonts w:hint="eastAsia" w:ascii="仿宋" w:hAnsi="仿宋" w:eastAsia="仿宋" w:cs="仿宋"/>
        </w:rPr>
        <w:t>特殊情况依据依法审定的方案</w:t>
      </w:r>
      <w:r>
        <w:rPr>
          <w:rFonts w:hint="eastAsia" w:cs="仿宋_GB2312"/>
          <w:lang w:bidi="ar"/>
        </w:rPr>
        <w:t>；建筑密度不大于</w:t>
      </w:r>
      <w:r>
        <w:rPr>
          <w:rFonts w:cs="仿宋_GB2312"/>
          <w:lang w:bidi="ar"/>
        </w:rPr>
        <w:t>30%</w:t>
      </w:r>
      <w:r>
        <w:rPr>
          <w:rFonts w:hint="eastAsia" w:cs="仿宋_GB2312"/>
          <w:lang w:bidi="ar"/>
        </w:rPr>
        <w:t>；新建建筑距村庄内部道路边沟或路面边缘距离不小于</w:t>
      </w:r>
      <w:r>
        <w:rPr>
          <w:rFonts w:cs="仿宋_GB2312"/>
          <w:lang w:bidi="ar"/>
        </w:rPr>
        <w:t>5</w:t>
      </w:r>
      <w:r>
        <w:rPr>
          <w:rFonts w:hint="eastAsia" w:cs="仿宋_GB2312"/>
          <w:lang w:bidi="ar"/>
        </w:rPr>
        <w:t>米，</w:t>
      </w:r>
      <w:r>
        <w:rPr>
          <w:rFonts w:hint="eastAsia" w:ascii="仿宋" w:hAnsi="仿宋" w:eastAsia="仿宋" w:cs="仿宋"/>
        </w:rPr>
        <w:t>特殊情况依据依法审定的方案</w:t>
      </w:r>
      <w:r>
        <w:rPr>
          <w:rFonts w:hint="eastAsia" w:cs="仿宋_GB2312"/>
          <w:lang w:bidi="ar"/>
        </w:rPr>
        <w:t>；村民自建房应依法办理宅基地审批和建房规划许可。建筑风格、色彩、材质不做刚性控制。</w:t>
      </w:r>
    </w:p>
    <w:p w14:paraId="3BF7F397">
      <w:pPr>
        <w:pStyle w:val="27"/>
        <w:ind w:left="640"/>
      </w:pPr>
      <w:r>
        <w:t>2</w:t>
      </w:r>
      <w:r>
        <w:rPr>
          <w:rFonts w:hint="eastAsia"/>
        </w:rPr>
        <w:t>.公共服务设施用地管控</w:t>
      </w:r>
    </w:p>
    <w:p w14:paraId="705C5F5B">
      <w:pPr>
        <w:ind w:firstLine="640"/>
        <w:rPr>
          <w:rFonts w:cs="仿宋_GB2312"/>
          <w:lang w:bidi="ar"/>
        </w:rPr>
      </w:pPr>
      <w:r>
        <w:rPr>
          <w:rFonts w:hint="eastAsia" w:cs="仿宋_GB2312"/>
          <w:lang w:bidi="ar"/>
        </w:rPr>
        <w:t>主要用于村委会、村民文化活动室等设施建设。建筑密度不得大于</w:t>
      </w:r>
      <w:r>
        <w:rPr>
          <w:rFonts w:cs="仿宋_GB2312"/>
          <w:lang w:bidi="ar"/>
        </w:rPr>
        <w:t>40%</w:t>
      </w:r>
      <w:r>
        <w:rPr>
          <w:rFonts w:hint="eastAsia" w:cs="仿宋_GB2312"/>
          <w:lang w:bidi="ar"/>
        </w:rPr>
        <w:t>，建筑高度均不超过</w:t>
      </w:r>
      <w:r>
        <w:rPr>
          <w:rFonts w:cs="仿宋_GB2312"/>
          <w:lang w:bidi="ar"/>
        </w:rPr>
        <w:t>12</w:t>
      </w:r>
      <w:r>
        <w:rPr>
          <w:rFonts w:hint="eastAsia" w:cs="仿宋_GB2312"/>
          <w:lang w:bidi="ar"/>
        </w:rPr>
        <w:t>米，容积率不超过</w:t>
      </w:r>
      <w:r>
        <w:rPr>
          <w:rFonts w:cs="仿宋_GB2312"/>
          <w:lang w:bidi="ar"/>
        </w:rPr>
        <w:t>1.2</w:t>
      </w:r>
      <w:r>
        <w:rPr>
          <w:rFonts w:hint="eastAsia" w:cs="仿宋_GB2312"/>
          <w:lang w:bidi="ar"/>
        </w:rPr>
        <w:t>，绿地率不得低于</w:t>
      </w:r>
      <w:r>
        <w:rPr>
          <w:rFonts w:cs="仿宋_GB2312"/>
          <w:lang w:bidi="ar"/>
        </w:rPr>
        <w:t>35%，</w:t>
      </w:r>
      <w:r>
        <w:rPr>
          <w:rFonts w:hint="eastAsia" w:ascii="仿宋" w:hAnsi="仿宋" w:eastAsia="仿宋" w:cs="仿宋"/>
        </w:rPr>
        <w:t>特殊情况依据依法审定的方案</w:t>
      </w:r>
      <w:r>
        <w:rPr>
          <w:rFonts w:hint="eastAsia" w:cs="仿宋_GB2312"/>
          <w:lang w:bidi="ar"/>
        </w:rPr>
        <w:t>；新建建筑距村庄内部道路边沟或路面边缘距离不小于</w:t>
      </w:r>
      <w:r>
        <w:rPr>
          <w:rFonts w:cs="仿宋_GB2312"/>
          <w:lang w:bidi="ar"/>
        </w:rPr>
        <w:t>8</w:t>
      </w:r>
      <w:r>
        <w:rPr>
          <w:rFonts w:hint="eastAsia" w:cs="仿宋_GB2312"/>
          <w:lang w:bidi="ar"/>
        </w:rPr>
        <w:t>米。建筑风格、色彩、材质不做刚性控制。</w:t>
      </w:r>
    </w:p>
    <w:p w14:paraId="45AD272A">
      <w:pPr>
        <w:pStyle w:val="27"/>
        <w:ind w:left="640"/>
      </w:pPr>
      <w:r>
        <w:t>3</w:t>
      </w:r>
      <w:r>
        <w:rPr>
          <w:rFonts w:hint="eastAsia"/>
        </w:rPr>
        <w:t>.交通及市政基础设施</w:t>
      </w:r>
    </w:p>
    <w:p w14:paraId="2FC46B3A">
      <w:pPr>
        <w:ind w:firstLine="640"/>
        <w:rPr>
          <w:rFonts w:cs="仿宋_GB2312"/>
          <w:lang w:bidi="ar"/>
        </w:rPr>
      </w:pPr>
      <w:r>
        <w:rPr>
          <w:rFonts w:hint="eastAsia" w:cs="仿宋_GB2312"/>
          <w:lang w:bidi="ar"/>
        </w:rPr>
        <w:t>规划村庄建筑的间距和通道的设置应符合消防安全要求，不得小于</w:t>
      </w:r>
      <w:r>
        <w:rPr>
          <w:rFonts w:cs="仿宋_GB2312"/>
          <w:lang w:bidi="ar"/>
        </w:rPr>
        <w:t>4</w:t>
      </w:r>
      <w:r>
        <w:rPr>
          <w:rFonts w:hint="eastAsia" w:cs="仿宋_GB2312"/>
          <w:lang w:bidi="ar"/>
        </w:rPr>
        <w:t>米，道路为消防通道的，不允许长期堆放阻碍交通的杂物。学校、广场、公园为防灾避险场所，紧急情况下可用于躲避灾害。规划村庄主要道路红线宽度为</w:t>
      </w:r>
      <w:r>
        <w:rPr>
          <w:rFonts w:cs="仿宋_GB2312"/>
          <w:lang w:bidi="ar"/>
        </w:rPr>
        <w:t>6</w:t>
      </w:r>
      <w:r>
        <w:rPr>
          <w:rFonts w:hint="eastAsia" w:cs="仿宋_GB2312"/>
          <w:lang w:bidi="ar"/>
        </w:rPr>
        <w:t>—</w:t>
      </w:r>
      <w:r>
        <w:rPr>
          <w:rFonts w:cs="仿宋_GB2312"/>
          <w:lang w:bidi="ar"/>
        </w:rPr>
        <w:t>10</w:t>
      </w:r>
      <w:r>
        <w:rPr>
          <w:rFonts w:hint="eastAsia" w:cs="仿宋_GB2312"/>
          <w:lang w:bidi="ar"/>
        </w:rPr>
        <w:t>米，次要道路宽度为</w:t>
      </w:r>
      <w:r>
        <w:rPr>
          <w:rFonts w:cs="仿宋_GB2312"/>
          <w:lang w:bidi="ar"/>
        </w:rPr>
        <w:t>4</w:t>
      </w:r>
      <w:r>
        <w:rPr>
          <w:rFonts w:hint="eastAsia" w:cs="仿宋_GB2312"/>
          <w:lang w:bidi="ar"/>
        </w:rPr>
        <w:t>—</w:t>
      </w:r>
      <w:r>
        <w:rPr>
          <w:rFonts w:cs="仿宋_GB2312"/>
          <w:lang w:bidi="ar"/>
        </w:rPr>
        <w:t>6</w:t>
      </w:r>
      <w:r>
        <w:rPr>
          <w:rFonts w:hint="eastAsia" w:cs="仿宋_GB2312"/>
          <w:lang w:bidi="ar"/>
        </w:rPr>
        <w:t>米。建筑风格、色彩、材质不做刚性控制。</w:t>
      </w:r>
    </w:p>
    <w:p w14:paraId="4F12EF81">
      <w:pPr>
        <w:pStyle w:val="27"/>
        <w:ind w:left="640"/>
      </w:pPr>
      <w:r>
        <w:t>4</w:t>
      </w:r>
      <w:r>
        <w:rPr>
          <w:rFonts w:hint="eastAsia"/>
        </w:rPr>
        <w:t>.产业用地管控</w:t>
      </w:r>
    </w:p>
    <w:p w14:paraId="348D48AC">
      <w:pPr>
        <w:ind w:firstLine="640"/>
        <w:rPr>
          <w:rFonts w:cs="仿宋_GB2312"/>
          <w:lang w:bidi="ar"/>
        </w:rPr>
      </w:pPr>
      <w:r>
        <w:rPr>
          <w:rFonts w:hint="eastAsia" w:cs="仿宋_GB2312"/>
          <w:lang w:bidi="ar"/>
        </w:rPr>
        <w:t>规划村内商业用地、其他商业服务业用地建筑密度不超过</w:t>
      </w:r>
      <w:r>
        <w:rPr>
          <w:rFonts w:cs="仿宋_GB2312"/>
          <w:lang w:bidi="ar"/>
        </w:rPr>
        <w:t>50%</w:t>
      </w:r>
      <w:r>
        <w:rPr>
          <w:rFonts w:hint="eastAsia" w:cs="仿宋_GB2312"/>
          <w:lang w:bidi="ar"/>
        </w:rPr>
        <w:t>，建筑高度不超过</w:t>
      </w:r>
      <w:r>
        <w:rPr>
          <w:rFonts w:cs="仿宋_GB2312"/>
          <w:lang w:bidi="ar"/>
        </w:rPr>
        <w:t>12</w:t>
      </w:r>
      <w:r>
        <w:rPr>
          <w:rFonts w:hint="eastAsia" w:cs="仿宋_GB2312"/>
          <w:lang w:bidi="ar"/>
        </w:rPr>
        <w:t>米</w:t>
      </w:r>
      <w:r>
        <w:rPr>
          <w:rFonts w:cs="仿宋_GB2312"/>
          <w:lang w:bidi="ar"/>
        </w:rPr>
        <w:t>，</w:t>
      </w:r>
      <w:r>
        <w:rPr>
          <w:rFonts w:hint="eastAsia" w:ascii="仿宋" w:hAnsi="仿宋" w:eastAsia="仿宋" w:cs="仿宋"/>
        </w:rPr>
        <w:t>特殊情况依据依法审定的方案</w:t>
      </w:r>
      <w:r>
        <w:rPr>
          <w:rFonts w:hint="eastAsia" w:cs="仿宋_GB2312"/>
          <w:lang w:bidi="ar"/>
        </w:rPr>
        <w:t>；仓储用地和工业用地容积率不小于</w:t>
      </w:r>
      <w:r>
        <w:rPr>
          <w:rFonts w:cs="仿宋_GB2312"/>
          <w:lang w:bidi="ar"/>
        </w:rPr>
        <w:t>0.7</w:t>
      </w:r>
      <w:r>
        <w:rPr>
          <w:rFonts w:hint="eastAsia" w:cs="仿宋_GB2312"/>
          <w:lang w:bidi="ar"/>
        </w:rPr>
        <w:t>，建筑密度不小于</w:t>
      </w:r>
      <w:r>
        <w:rPr>
          <w:rFonts w:cs="仿宋_GB2312"/>
          <w:lang w:bidi="ar"/>
        </w:rPr>
        <w:t>40%</w:t>
      </w:r>
      <w:r>
        <w:rPr>
          <w:rFonts w:hint="eastAsia" w:cs="仿宋_GB2312"/>
          <w:lang w:bidi="ar"/>
        </w:rPr>
        <w:t>，建筑高度不超过</w:t>
      </w:r>
      <w:r>
        <w:rPr>
          <w:rFonts w:cs="仿宋_GB2312"/>
          <w:lang w:bidi="ar"/>
        </w:rPr>
        <w:t>12</w:t>
      </w:r>
      <w:r>
        <w:rPr>
          <w:rFonts w:hint="eastAsia" w:cs="仿宋_GB2312"/>
          <w:lang w:bidi="ar"/>
        </w:rPr>
        <w:t>米</w:t>
      </w:r>
      <w:r>
        <w:rPr>
          <w:rFonts w:cs="仿宋_GB2312"/>
          <w:lang w:bidi="ar"/>
        </w:rPr>
        <w:t>，</w:t>
      </w:r>
      <w:r>
        <w:rPr>
          <w:rFonts w:hint="eastAsia" w:ascii="仿宋" w:hAnsi="仿宋" w:eastAsia="仿宋" w:cs="仿宋"/>
        </w:rPr>
        <w:t>特殊情况依据依法审定的方案</w:t>
      </w:r>
      <w:r>
        <w:rPr>
          <w:rFonts w:hint="eastAsia" w:cs="仿宋_GB2312"/>
          <w:lang w:bidi="ar"/>
        </w:rPr>
        <w:t>；产业发展用地的规划调整由村委会提出，并经村民代表会议或村民会议审议和公示通过，逐级报村庄规划原审批机关批准。</w:t>
      </w:r>
    </w:p>
    <w:p w14:paraId="79DE59CA">
      <w:pPr>
        <w:pStyle w:val="3"/>
        <w:widowControl/>
        <w:ind w:firstLine="0" w:firstLineChars="0"/>
      </w:pPr>
      <w:bookmarkStart w:id="140" w:name="_Toc178165686"/>
      <w:bookmarkStart w:id="141" w:name="_Toc240028065"/>
      <w:r>
        <w:rPr>
          <w:rFonts w:hint="eastAsia" w:cs="黑体"/>
        </w:rPr>
        <w:t>第二节</w:t>
      </w:r>
      <w:r>
        <w:t xml:space="preserve"> </w:t>
      </w:r>
      <w:r>
        <w:rPr>
          <w:rFonts w:hint="eastAsia" w:cs="黑体"/>
        </w:rPr>
        <w:t>规划实施</w:t>
      </w:r>
      <w:bookmarkEnd w:id="140"/>
      <w:bookmarkEnd w:id="141"/>
    </w:p>
    <w:p w14:paraId="1D456C32">
      <w:pPr>
        <w:numPr>
          <w:ilvl w:val="0"/>
          <w:numId w:val="2"/>
        </w:numPr>
        <w:spacing w:before="312" w:beforeLines="100" w:after="156" w:afterLines="50"/>
        <w:ind w:left="0" w:firstLine="0" w:firstLineChars="0"/>
        <w:jc w:val="left"/>
        <w:rPr>
          <w:rFonts w:ascii="Calibri" w:hAnsi="Calibri" w:eastAsia="楷体" w:cs="楷体"/>
          <w:szCs w:val="22"/>
          <w:lang w:bidi="ar"/>
        </w:rPr>
      </w:pPr>
      <w:r>
        <w:rPr>
          <w:rFonts w:hint="eastAsia" w:ascii="Calibri" w:hAnsi="Calibri" w:eastAsia="楷体" w:cs="楷体"/>
          <w:szCs w:val="22"/>
          <w:lang w:bidi="ar"/>
        </w:rPr>
        <w:t>近期重点任务</w:t>
      </w:r>
    </w:p>
    <w:p w14:paraId="0E7AE9CD">
      <w:pPr>
        <w:ind w:firstLine="640"/>
      </w:pPr>
      <w:r>
        <w:rPr>
          <w:rFonts w:hint="eastAsia" w:cs="仿宋_GB2312"/>
          <w:lang w:bidi="ar"/>
        </w:rPr>
        <w:t>围绕“两个一百年”发展战略目标和高质量发展要求，规划到</w:t>
      </w:r>
      <w:r>
        <w:rPr>
          <w:rFonts w:cs="Times New Roman"/>
          <w:lang w:bidi="ar"/>
        </w:rPr>
        <w:t>2025</w:t>
      </w:r>
      <w:r>
        <w:rPr>
          <w:rFonts w:hint="eastAsia" w:cs="仿宋_GB2312"/>
          <w:lang w:bidi="ar"/>
        </w:rPr>
        <w:t>年，经济社会发展达到一个新的历史高度。绿色产业和经济实力迈上新台阶，基础设施建设取得新突破，绿色本底和生态环境持续改善，民生福祉和人民获得感持续增进。</w:t>
      </w:r>
    </w:p>
    <w:p w14:paraId="57D09711">
      <w:pPr>
        <w:ind w:firstLine="640"/>
      </w:pPr>
      <w:r>
        <w:rPr>
          <w:rFonts w:hint="eastAsia" w:cs="仿宋_GB2312"/>
          <w:lang w:bidi="ar"/>
        </w:rPr>
        <w:t>实施后头乡公路改建工程、乡村路网新建工程，完善交通道路网，</w:t>
      </w:r>
      <w:r>
        <w:rPr>
          <w:rFonts w:hint="eastAsia" w:ascii="仿宋" w:hAnsi="仿宋" w:cs="仿宋"/>
          <w:color w:val="000000"/>
          <w:kern w:val="0"/>
          <w:sz w:val="31"/>
          <w:szCs w:val="31"/>
          <w:lang w:bidi="ar"/>
        </w:rPr>
        <w:t>强化后头乡与各乡镇之间主要联系通道，改善各</w:t>
      </w:r>
      <w:r>
        <w:rPr>
          <w:rFonts w:hint="eastAsia" w:cs="仿宋_GB2312"/>
          <w:lang w:bidi="ar"/>
        </w:rPr>
        <w:t>乡域</w:t>
      </w:r>
      <w:r>
        <w:rPr>
          <w:rFonts w:hint="eastAsia" w:ascii="仿宋" w:hAnsi="仿宋" w:cs="仿宋"/>
          <w:color w:val="000000"/>
          <w:kern w:val="0"/>
          <w:sz w:val="31"/>
          <w:szCs w:val="31"/>
          <w:lang w:bidi="ar"/>
        </w:rPr>
        <w:t>的交通可达性。</w:t>
      </w:r>
    </w:p>
    <w:p w14:paraId="776C65F4">
      <w:pPr>
        <w:pStyle w:val="3"/>
        <w:widowControl/>
        <w:ind w:firstLine="0" w:firstLineChars="0"/>
      </w:pPr>
      <w:bookmarkStart w:id="142" w:name="_Toc153976319"/>
      <w:bookmarkStart w:id="143" w:name="_Toc240028066"/>
      <w:bookmarkStart w:id="144" w:name="_Toc178165687"/>
      <w:r>
        <w:rPr>
          <w:rFonts w:hint="eastAsia" w:cs="黑体"/>
        </w:rPr>
        <w:t>第三节</w:t>
      </w:r>
      <w:r>
        <w:t xml:space="preserve"> </w:t>
      </w:r>
      <w:r>
        <w:rPr>
          <w:rFonts w:hint="eastAsia" w:cs="黑体"/>
        </w:rPr>
        <w:t>实施</w:t>
      </w:r>
      <w:bookmarkEnd w:id="142"/>
      <w:r>
        <w:rPr>
          <w:rFonts w:hint="eastAsia" w:cs="黑体"/>
        </w:rPr>
        <w:t>保障</w:t>
      </w:r>
      <w:bookmarkEnd w:id="143"/>
      <w:bookmarkEnd w:id="144"/>
    </w:p>
    <w:p w14:paraId="1D074BD1">
      <w:pPr>
        <w:pStyle w:val="12"/>
        <w:numPr>
          <w:ilvl w:val="0"/>
          <w:numId w:val="2"/>
        </w:numPr>
        <w:spacing w:before="312" w:beforeLines="100" w:after="156" w:afterLines="50"/>
        <w:ind w:left="0" w:firstLine="0" w:firstLineChars="0"/>
        <w:jc w:val="left"/>
        <w:rPr>
          <w:rFonts w:ascii="Calibri" w:hAnsi="Calibri" w:eastAsia="楷体" w:cs="楷体"/>
          <w:sz w:val="32"/>
          <w:szCs w:val="22"/>
          <w:lang w:bidi="ar"/>
        </w:rPr>
      </w:pPr>
      <w:r>
        <w:rPr>
          <w:rFonts w:hint="eastAsia" w:ascii="Calibri" w:hAnsi="Calibri" w:eastAsia="楷体" w:cs="楷体"/>
          <w:sz w:val="32"/>
          <w:szCs w:val="22"/>
          <w:lang w:bidi="ar"/>
        </w:rPr>
        <w:t>加强党的领导</w:t>
      </w:r>
    </w:p>
    <w:p w14:paraId="218EF9E2">
      <w:pPr>
        <w:ind w:firstLine="640"/>
        <w:rPr>
          <w:rFonts w:ascii="仿宋_GB2312" w:cs="仿宋_GB2312"/>
          <w:lang w:bidi="ar"/>
        </w:rPr>
      </w:pPr>
      <w:r>
        <w:rPr>
          <w:rFonts w:hint="eastAsia" w:ascii="仿宋_GB2312" w:cs="仿宋_GB2312"/>
          <w:lang w:bidi="ar"/>
        </w:rPr>
        <w:t>在后头乡党委和政府领导下，各有关部门要依法实施规划。党委、政府履行国土空间总体规划实施主体责任。绥棱县自然资源主管部门依法实施规划项目审批与管理工作。</w:t>
      </w:r>
    </w:p>
    <w:p w14:paraId="19BCAF4F">
      <w:pPr>
        <w:pStyle w:val="12"/>
        <w:numPr>
          <w:ilvl w:val="0"/>
          <w:numId w:val="2"/>
        </w:numPr>
        <w:spacing w:before="312" w:beforeLines="100" w:after="156" w:afterLines="50"/>
        <w:ind w:left="0" w:firstLine="0" w:firstLineChars="0"/>
        <w:jc w:val="left"/>
        <w:rPr>
          <w:rFonts w:ascii="Calibri" w:hAnsi="Calibri" w:eastAsia="楷体" w:cs="楷体"/>
          <w:sz w:val="32"/>
          <w:szCs w:val="22"/>
          <w:lang w:bidi="ar"/>
        </w:rPr>
      </w:pPr>
      <w:r>
        <w:rPr>
          <w:rFonts w:hint="eastAsia" w:ascii="Calibri" w:hAnsi="Calibri" w:eastAsia="楷体" w:cs="楷体"/>
          <w:sz w:val="32"/>
          <w:szCs w:val="22"/>
          <w:lang w:bidi="ar"/>
        </w:rPr>
        <w:t>强化政策保障</w:t>
      </w:r>
    </w:p>
    <w:p w14:paraId="7106BA85">
      <w:pPr>
        <w:ind w:firstLine="640"/>
      </w:pPr>
      <w:r>
        <w:rPr>
          <w:rFonts w:hint="eastAsia"/>
        </w:rPr>
        <w:t>后头乡国土空间规划是在国家、黑龙江省、绥化市和绥棱县的部署下进行的。这一系列的政策支持为后头乡的规划提供了坚实的基础和明确的指导方向。</w:t>
      </w:r>
    </w:p>
    <w:p w14:paraId="154A4546">
      <w:pPr>
        <w:pStyle w:val="12"/>
        <w:numPr>
          <w:ilvl w:val="0"/>
          <w:numId w:val="2"/>
        </w:numPr>
        <w:spacing w:before="312" w:beforeLines="100" w:after="156" w:afterLines="50"/>
        <w:ind w:left="0" w:firstLine="0" w:firstLineChars="0"/>
        <w:jc w:val="left"/>
        <w:rPr>
          <w:rFonts w:ascii="Calibri" w:hAnsi="Calibri" w:eastAsia="楷体" w:cs="楷体"/>
          <w:sz w:val="32"/>
          <w:szCs w:val="22"/>
          <w:lang w:bidi="ar"/>
        </w:rPr>
      </w:pPr>
      <w:r>
        <w:rPr>
          <w:rFonts w:hint="eastAsia" w:ascii="Calibri" w:hAnsi="Calibri" w:eastAsia="楷体" w:cs="楷体"/>
          <w:sz w:val="32"/>
          <w:szCs w:val="22"/>
          <w:lang w:bidi="ar"/>
        </w:rPr>
        <w:t>完善配套机制</w:t>
      </w:r>
    </w:p>
    <w:p w14:paraId="322995D2">
      <w:pPr>
        <w:ind w:firstLine="640"/>
        <w:jc w:val="left"/>
        <w:rPr>
          <w:rFonts w:ascii="Calibri" w:hAnsi="Calibri" w:eastAsia="楷体" w:cs="楷体"/>
          <w:szCs w:val="22"/>
          <w:lang w:bidi="ar"/>
        </w:rPr>
      </w:pPr>
      <w:r>
        <w:rPr>
          <w:rFonts w:hint="eastAsia"/>
        </w:rPr>
        <w:t>完善部门联动机制。完善重大项目选址决策机制，构建镇、村两级衔接联动的规划基础平台、各部门和各村协调推进工作的空间信息共享平台。加强各部门在公共财政投入、土地供应、重大项目推进与空间布局在建设时序上的相互协调，合理确定重点任务的年度安排和行动计划，实现镇村协调、部门联动、同步高效</w:t>
      </w:r>
      <w:r>
        <w:rPr>
          <w:rFonts w:hint="eastAsia" w:ascii="仿宋_GB2312" w:cs="仿宋_GB2312"/>
          <w:lang w:bidi="ar"/>
        </w:rPr>
        <w:t>。</w:t>
      </w:r>
    </w:p>
    <w:p w14:paraId="0F930506">
      <w:pPr>
        <w:pStyle w:val="12"/>
        <w:numPr>
          <w:ilvl w:val="0"/>
          <w:numId w:val="2"/>
        </w:numPr>
        <w:spacing w:before="312" w:beforeLines="100" w:after="156" w:afterLines="50"/>
        <w:ind w:left="0" w:firstLine="0" w:firstLineChars="0"/>
        <w:jc w:val="left"/>
        <w:rPr>
          <w:rFonts w:ascii="Calibri" w:hAnsi="Calibri" w:eastAsia="楷体" w:cs="楷体"/>
          <w:sz w:val="32"/>
          <w:szCs w:val="22"/>
          <w:lang w:bidi="ar"/>
        </w:rPr>
      </w:pPr>
      <w:r>
        <w:rPr>
          <w:rFonts w:hint="eastAsia" w:ascii="Calibri" w:hAnsi="Calibri" w:eastAsia="楷体" w:cs="楷体"/>
          <w:sz w:val="32"/>
          <w:szCs w:val="22"/>
          <w:lang w:bidi="ar"/>
        </w:rPr>
        <w:t>公众参与社会监督</w:t>
      </w:r>
    </w:p>
    <w:p w14:paraId="22C17092">
      <w:pPr>
        <w:widowControl/>
        <w:ind w:firstLine="640"/>
        <w:rPr>
          <w:rFonts w:ascii="仿宋_GB2312" w:cs="Times New Roman"/>
          <w:lang w:bidi="ar"/>
        </w:rPr>
      </w:pPr>
      <w:r>
        <w:rPr>
          <w:rFonts w:hint="eastAsia" w:ascii="仿宋_GB2312" w:cs="Times New Roman"/>
          <w:lang w:bidi="ar"/>
        </w:rPr>
        <w:t>完善社会公众参与机制，搭建全过程、全方位的公众参与平台，建立贯穿规划编制、实施、监督及城市治理全过程的公众参与机制，保障公众及时获取规划信息并有效反馈意见，引导和鼓励村民、企业等参与规划制定、决策和实施。建立常态化规划宣传和交流互动机制。</w:t>
      </w:r>
    </w:p>
    <w:sectPr>
      <w:type w:val="continuous"/>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480AF">
    <w:pPr>
      <w:pStyle w:val="8"/>
      <w:ind w:firstLine="360"/>
      <w:jc w:val="center"/>
    </w:pPr>
  </w:p>
  <w:p w14:paraId="34670746">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153">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F563A">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8636638"/>
    </w:sdtPr>
    <w:sdtContent>
      <w:p w14:paraId="44D38FA2">
        <w:pPr>
          <w:pStyle w:val="8"/>
          <w:ind w:firstLine="360"/>
          <w:jc w:val="center"/>
        </w:pPr>
        <w:r>
          <w:fldChar w:fldCharType="begin"/>
        </w:r>
        <w:r>
          <w:instrText xml:space="preserve">PAGE   \* MERGEFORMAT</w:instrText>
        </w:r>
        <w:r>
          <w:fldChar w:fldCharType="separate"/>
        </w:r>
        <w:r>
          <w:rPr>
            <w:lang w:val="zh-CN"/>
          </w:rPr>
          <w:t>33</w:t>
        </w:r>
        <w:r>
          <w:fldChar w:fldCharType="end"/>
        </w:r>
      </w:p>
    </w:sdtContent>
  </w:sdt>
  <w:p w14:paraId="6BDC6EFB">
    <w:pPr>
      <w:pStyle w:val="8"/>
      <w:tabs>
        <w:tab w:val="left" w:pos="9015"/>
        <w:tab w:val="clear" w:pos="4153"/>
        <w:tab w:val="clear" w:pos="8306"/>
      </w:tabs>
      <w:ind w:firstLine="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81022">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359E4">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6AD6">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BAC18">
    <w:pPr>
      <w:pStyle w:val="9"/>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BAF5F"/>
    <w:multiLevelType w:val="multilevel"/>
    <w:tmpl w:val="869BAF5F"/>
    <w:lvl w:ilvl="0" w:tentative="0">
      <w:start w:val="3"/>
      <w:numFmt w:val="chineseCounting"/>
      <w:suff w:val="space"/>
      <w:lvlText w:val="第%1节"/>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FC70917"/>
    <w:multiLevelType w:val="multilevel"/>
    <w:tmpl w:val="3FC70917"/>
    <w:lvl w:ilvl="0" w:tentative="0">
      <w:start w:val="1"/>
      <w:numFmt w:val="japaneseCounting"/>
      <w:lvlText w:val="第%1章"/>
      <w:lvlJc w:val="left"/>
      <w:pPr>
        <w:ind w:left="1350" w:hanging="13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008B084"/>
    <w:multiLevelType w:val="multilevel"/>
    <w:tmpl w:val="5008B084"/>
    <w:lvl w:ilvl="0" w:tentative="0">
      <w:start w:val="1"/>
      <w:numFmt w:val="decimal"/>
      <w:lvlText w:val="第%1条"/>
      <w:lvlJc w:val="left"/>
      <w:pPr>
        <w:ind w:left="420" w:hanging="420"/>
      </w:pPr>
      <w:rPr>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4DBC4A"/>
    <w:multiLevelType w:val="multilevel"/>
    <w:tmpl w:val="574DBC4A"/>
    <w:lvl w:ilvl="0" w:tentative="0">
      <w:start w:val="1"/>
      <w:numFmt w:val="decimal"/>
      <w:lvlText w:val="%1."/>
      <w:lvlJc w:val="left"/>
      <w:pPr>
        <w:ind w:left="1408" w:hanging="420"/>
      </w:pPr>
    </w:lvl>
    <w:lvl w:ilvl="1" w:tentative="0">
      <w:start w:val="1"/>
      <w:numFmt w:val="lowerLetter"/>
      <w:lvlText w:val="%2)"/>
      <w:lvlJc w:val="left"/>
      <w:pPr>
        <w:ind w:left="1828" w:hanging="420"/>
      </w:pPr>
    </w:lvl>
    <w:lvl w:ilvl="2" w:tentative="0">
      <w:start w:val="1"/>
      <w:numFmt w:val="lowerRoman"/>
      <w:lvlText w:val="%3."/>
      <w:lvlJc w:val="right"/>
      <w:pPr>
        <w:ind w:left="2248" w:hanging="420"/>
      </w:pPr>
    </w:lvl>
    <w:lvl w:ilvl="3" w:tentative="0">
      <w:start w:val="1"/>
      <w:numFmt w:val="decimal"/>
      <w:lvlText w:val="%4."/>
      <w:lvlJc w:val="left"/>
      <w:pPr>
        <w:ind w:left="2668" w:hanging="420"/>
      </w:pPr>
    </w:lvl>
    <w:lvl w:ilvl="4" w:tentative="0">
      <w:start w:val="1"/>
      <w:numFmt w:val="lowerLetter"/>
      <w:lvlText w:val="%5)"/>
      <w:lvlJc w:val="left"/>
      <w:pPr>
        <w:ind w:left="3088" w:hanging="420"/>
      </w:pPr>
    </w:lvl>
    <w:lvl w:ilvl="5" w:tentative="0">
      <w:start w:val="1"/>
      <w:numFmt w:val="lowerRoman"/>
      <w:lvlText w:val="%6."/>
      <w:lvlJc w:val="right"/>
      <w:pPr>
        <w:ind w:left="3508" w:hanging="420"/>
      </w:pPr>
    </w:lvl>
    <w:lvl w:ilvl="6" w:tentative="0">
      <w:start w:val="1"/>
      <w:numFmt w:val="decimal"/>
      <w:lvlText w:val="%7."/>
      <w:lvlJc w:val="left"/>
      <w:pPr>
        <w:ind w:left="3928" w:hanging="420"/>
      </w:pPr>
    </w:lvl>
    <w:lvl w:ilvl="7" w:tentative="0">
      <w:start w:val="1"/>
      <w:numFmt w:val="lowerLetter"/>
      <w:lvlText w:val="%8)"/>
      <w:lvlJc w:val="left"/>
      <w:pPr>
        <w:ind w:left="4348" w:hanging="420"/>
      </w:pPr>
    </w:lvl>
    <w:lvl w:ilvl="8" w:tentative="0">
      <w:start w:val="1"/>
      <w:numFmt w:val="lowerRoman"/>
      <w:lvlText w:val="%9."/>
      <w:lvlJc w:val="right"/>
      <w:pPr>
        <w:ind w:left="4768" w:hanging="420"/>
      </w:pPr>
    </w:lvl>
  </w:abstractNum>
  <w:abstractNum w:abstractNumId="4">
    <w:nsid w:val="58F75007"/>
    <w:multiLevelType w:val="singleLevel"/>
    <w:tmpl w:val="58F75007"/>
    <w:lvl w:ilvl="0" w:tentative="0">
      <w:start w:val="2"/>
      <w:numFmt w:val="decimal"/>
      <w:lvlText w:val="%1."/>
      <w:lvlJc w:val="left"/>
      <w:pPr>
        <w:tabs>
          <w:tab w:val="left" w:pos="312"/>
        </w:tabs>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iMjQzZmRlOThiNTYxNzE0ZjZhMTQ2NWNlMjc0ZDgifQ=="/>
  </w:docVars>
  <w:rsids>
    <w:rsidRoot w:val="00663F58"/>
    <w:rsid w:val="00012AD1"/>
    <w:rsid w:val="00015AB5"/>
    <w:rsid w:val="00031B7A"/>
    <w:rsid w:val="00032632"/>
    <w:rsid w:val="0003427F"/>
    <w:rsid w:val="00037CE9"/>
    <w:rsid w:val="0004321B"/>
    <w:rsid w:val="000436C0"/>
    <w:rsid w:val="000523F7"/>
    <w:rsid w:val="00052BD2"/>
    <w:rsid w:val="00053F7B"/>
    <w:rsid w:val="00080CDA"/>
    <w:rsid w:val="00081B8E"/>
    <w:rsid w:val="00083C9E"/>
    <w:rsid w:val="00085312"/>
    <w:rsid w:val="00086E63"/>
    <w:rsid w:val="00095AC6"/>
    <w:rsid w:val="00095F58"/>
    <w:rsid w:val="000B3095"/>
    <w:rsid w:val="000C3E30"/>
    <w:rsid w:val="00103216"/>
    <w:rsid w:val="00112462"/>
    <w:rsid w:val="00122A96"/>
    <w:rsid w:val="0013475A"/>
    <w:rsid w:val="00146E84"/>
    <w:rsid w:val="00151DD0"/>
    <w:rsid w:val="00151FFE"/>
    <w:rsid w:val="00154A47"/>
    <w:rsid w:val="00156E74"/>
    <w:rsid w:val="001702E8"/>
    <w:rsid w:val="001758EE"/>
    <w:rsid w:val="00175D66"/>
    <w:rsid w:val="001A6CA4"/>
    <w:rsid w:val="001C244F"/>
    <w:rsid w:val="001C7D00"/>
    <w:rsid w:val="001F0975"/>
    <w:rsid w:val="001F521C"/>
    <w:rsid w:val="001F7509"/>
    <w:rsid w:val="00210DF5"/>
    <w:rsid w:val="002115E2"/>
    <w:rsid w:val="00216808"/>
    <w:rsid w:val="00237F74"/>
    <w:rsid w:val="00261CEA"/>
    <w:rsid w:val="002640A9"/>
    <w:rsid w:val="00265906"/>
    <w:rsid w:val="002B0E5C"/>
    <w:rsid w:val="002C3B29"/>
    <w:rsid w:val="002C6401"/>
    <w:rsid w:val="002D135E"/>
    <w:rsid w:val="002E338E"/>
    <w:rsid w:val="003041C0"/>
    <w:rsid w:val="00310090"/>
    <w:rsid w:val="00335258"/>
    <w:rsid w:val="00345EFF"/>
    <w:rsid w:val="00347D75"/>
    <w:rsid w:val="00353E73"/>
    <w:rsid w:val="0035400B"/>
    <w:rsid w:val="003603EE"/>
    <w:rsid w:val="0036070A"/>
    <w:rsid w:val="003635C2"/>
    <w:rsid w:val="003642CD"/>
    <w:rsid w:val="00370BAF"/>
    <w:rsid w:val="003735D3"/>
    <w:rsid w:val="00376490"/>
    <w:rsid w:val="0037693B"/>
    <w:rsid w:val="00380A0E"/>
    <w:rsid w:val="003939E1"/>
    <w:rsid w:val="003A3568"/>
    <w:rsid w:val="003F026C"/>
    <w:rsid w:val="004006CA"/>
    <w:rsid w:val="00402D60"/>
    <w:rsid w:val="00411D2C"/>
    <w:rsid w:val="00414FF7"/>
    <w:rsid w:val="00422E12"/>
    <w:rsid w:val="00424977"/>
    <w:rsid w:val="0043212E"/>
    <w:rsid w:val="00436218"/>
    <w:rsid w:val="00470574"/>
    <w:rsid w:val="00473D94"/>
    <w:rsid w:val="004759DE"/>
    <w:rsid w:val="00475D08"/>
    <w:rsid w:val="0048170F"/>
    <w:rsid w:val="004873D4"/>
    <w:rsid w:val="004942F9"/>
    <w:rsid w:val="004A627F"/>
    <w:rsid w:val="004B4F38"/>
    <w:rsid w:val="004C3FEF"/>
    <w:rsid w:val="004C4221"/>
    <w:rsid w:val="00504A85"/>
    <w:rsid w:val="005316C2"/>
    <w:rsid w:val="00532C13"/>
    <w:rsid w:val="005331BE"/>
    <w:rsid w:val="005464BB"/>
    <w:rsid w:val="00550454"/>
    <w:rsid w:val="0055313F"/>
    <w:rsid w:val="005539CF"/>
    <w:rsid w:val="00564F3F"/>
    <w:rsid w:val="0057079D"/>
    <w:rsid w:val="00570F87"/>
    <w:rsid w:val="0058627A"/>
    <w:rsid w:val="00593CCE"/>
    <w:rsid w:val="00594551"/>
    <w:rsid w:val="005A5701"/>
    <w:rsid w:val="005B4E93"/>
    <w:rsid w:val="005B5AC2"/>
    <w:rsid w:val="005C3781"/>
    <w:rsid w:val="005E21B8"/>
    <w:rsid w:val="005F49AF"/>
    <w:rsid w:val="006050AA"/>
    <w:rsid w:val="00617F9B"/>
    <w:rsid w:val="00626546"/>
    <w:rsid w:val="006335F1"/>
    <w:rsid w:val="00635488"/>
    <w:rsid w:val="0066207A"/>
    <w:rsid w:val="00663F58"/>
    <w:rsid w:val="0067160B"/>
    <w:rsid w:val="006A254A"/>
    <w:rsid w:val="006A39D5"/>
    <w:rsid w:val="006A78E0"/>
    <w:rsid w:val="006B369E"/>
    <w:rsid w:val="006D4D4C"/>
    <w:rsid w:val="006F3821"/>
    <w:rsid w:val="006F675C"/>
    <w:rsid w:val="00704DE3"/>
    <w:rsid w:val="00714658"/>
    <w:rsid w:val="007156D9"/>
    <w:rsid w:val="00732EDB"/>
    <w:rsid w:val="00734744"/>
    <w:rsid w:val="00735ACA"/>
    <w:rsid w:val="00741E98"/>
    <w:rsid w:val="007816DE"/>
    <w:rsid w:val="007976DC"/>
    <w:rsid w:val="007A4573"/>
    <w:rsid w:val="007A5F8A"/>
    <w:rsid w:val="007C03D9"/>
    <w:rsid w:val="007C2A3C"/>
    <w:rsid w:val="007C4027"/>
    <w:rsid w:val="00816B2D"/>
    <w:rsid w:val="0082280E"/>
    <w:rsid w:val="00826734"/>
    <w:rsid w:val="0086704C"/>
    <w:rsid w:val="00874215"/>
    <w:rsid w:val="00880BFE"/>
    <w:rsid w:val="008906DB"/>
    <w:rsid w:val="00891E2E"/>
    <w:rsid w:val="008D41CA"/>
    <w:rsid w:val="008D6F99"/>
    <w:rsid w:val="008D7F98"/>
    <w:rsid w:val="008E0A1B"/>
    <w:rsid w:val="008F06CC"/>
    <w:rsid w:val="008F4984"/>
    <w:rsid w:val="00910BFC"/>
    <w:rsid w:val="00917C2D"/>
    <w:rsid w:val="00917D03"/>
    <w:rsid w:val="00947BD4"/>
    <w:rsid w:val="0095477A"/>
    <w:rsid w:val="009601BA"/>
    <w:rsid w:val="00981999"/>
    <w:rsid w:val="009824DC"/>
    <w:rsid w:val="00987160"/>
    <w:rsid w:val="009B20C0"/>
    <w:rsid w:val="009B2BF1"/>
    <w:rsid w:val="009C0F29"/>
    <w:rsid w:val="009D241F"/>
    <w:rsid w:val="009E62D5"/>
    <w:rsid w:val="009F45B9"/>
    <w:rsid w:val="009F5D94"/>
    <w:rsid w:val="00A06B23"/>
    <w:rsid w:val="00A54FDD"/>
    <w:rsid w:val="00A65AF1"/>
    <w:rsid w:val="00A66FDE"/>
    <w:rsid w:val="00A71730"/>
    <w:rsid w:val="00A71BC1"/>
    <w:rsid w:val="00A97C00"/>
    <w:rsid w:val="00AB0711"/>
    <w:rsid w:val="00AB442D"/>
    <w:rsid w:val="00AC2D23"/>
    <w:rsid w:val="00AF3FD6"/>
    <w:rsid w:val="00B01E06"/>
    <w:rsid w:val="00B12131"/>
    <w:rsid w:val="00B132F5"/>
    <w:rsid w:val="00B14A6F"/>
    <w:rsid w:val="00B200F1"/>
    <w:rsid w:val="00B24491"/>
    <w:rsid w:val="00B314A2"/>
    <w:rsid w:val="00B365AE"/>
    <w:rsid w:val="00B47F6B"/>
    <w:rsid w:val="00B6039B"/>
    <w:rsid w:val="00B60FC7"/>
    <w:rsid w:val="00B6201E"/>
    <w:rsid w:val="00B71F6B"/>
    <w:rsid w:val="00B722AF"/>
    <w:rsid w:val="00B7285F"/>
    <w:rsid w:val="00B85DF0"/>
    <w:rsid w:val="00BB0A29"/>
    <w:rsid w:val="00BB2466"/>
    <w:rsid w:val="00BB317A"/>
    <w:rsid w:val="00BC7B14"/>
    <w:rsid w:val="00BC7BF5"/>
    <w:rsid w:val="00BD344B"/>
    <w:rsid w:val="00BE58D5"/>
    <w:rsid w:val="00C22680"/>
    <w:rsid w:val="00C4427A"/>
    <w:rsid w:val="00C46F79"/>
    <w:rsid w:val="00C54BE9"/>
    <w:rsid w:val="00C771F6"/>
    <w:rsid w:val="00C77B42"/>
    <w:rsid w:val="00C83B6D"/>
    <w:rsid w:val="00CB0C10"/>
    <w:rsid w:val="00CB7FC4"/>
    <w:rsid w:val="00CC3091"/>
    <w:rsid w:val="00CE757B"/>
    <w:rsid w:val="00CE781A"/>
    <w:rsid w:val="00D042A3"/>
    <w:rsid w:val="00D16B42"/>
    <w:rsid w:val="00D4300E"/>
    <w:rsid w:val="00D530A9"/>
    <w:rsid w:val="00D57EF1"/>
    <w:rsid w:val="00D80A0C"/>
    <w:rsid w:val="00D81A70"/>
    <w:rsid w:val="00D953B8"/>
    <w:rsid w:val="00DB0C2A"/>
    <w:rsid w:val="00DD47F9"/>
    <w:rsid w:val="00DE13BF"/>
    <w:rsid w:val="00DE4287"/>
    <w:rsid w:val="00DE7F62"/>
    <w:rsid w:val="00DF0A94"/>
    <w:rsid w:val="00E07F50"/>
    <w:rsid w:val="00E449A7"/>
    <w:rsid w:val="00E47321"/>
    <w:rsid w:val="00E51CF1"/>
    <w:rsid w:val="00E55623"/>
    <w:rsid w:val="00E57B86"/>
    <w:rsid w:val="00E944B7"/>
    <w:rsid w:val="00E94CF2"/>
    <w:rsid w:val="00EA3619"/>
    <w:rsid w:val="00EA3CCE"/>
    <w:rsid w:val="00ED240D"/>
    <w:rsid w:val="00EE48D3"/>
    <w:rsid w:val="00EE6331"/>
    <w:rsid w:val="00EF680B"/>
    <w:rsid w:val="00F00841"/>
    <w:rsid w:val="00F01F66"/>
    <w:rsid w:val="00F0605E"/>
    <w:rsid w:val="00F1089B"/>
    <w:rsid w:val="00F141EE"/>
    <w:rsid w:val="00F55955"/>
    <w:rsid w:val="00F842CB"/>
    <w:rsid w:val="00F870E0"/>
    <w:rsid w:val="00F918D9"/>
    <w:rsid w:val="00FA47C1"/>
    <w:rsid w:val="00FE0455"/>
    <w:rsid w:val="00FE6F2D"/>
    <w:rsid w:val="00FF14D8"/>
    <w:rsid w:val="058A5E9A"/>
    <w:rsid w:val="09722ECD"/>
    <w:rsid w:val="0E83792A"/>
    <w:rsid w:val="11D5221A"/>
    <w:rsid w:val="15740897"/>
    <w:rsid w:val="1DD93ECE"/>
    <w:rsid w:val="1E5135A1"/>
    <w:rsid w:val="1F4F59D1"/>
    <w:rsid w:val="24DC7241"/>
    <w:rsid w:val="2C473A74"/>
    <w:rsid w:val="2D8F424F"/>
    <w:rsid w:val="2DC64C82"/>
    <w:rsid w:val="2E8E4A33"/>
    <w:rsid w:val="32C1089D"/>
    <w:rsid w:val="38783DF5"/>
    <w:rsid w:val="3B6C131C"/>
    <w:rsid w:val="3EB47179"/>
    <w:rsid w:val="3F367F1D"/>
    <w:rsid w:val="3FD40808"/>
    <w:rsid w:val="475352F2"/>
    <w:rsid w:val="489B600E"/>
    <w:rsid w:val="49873A4F"/>
    <w:rsid w:val="4A2B7F1C"/>
    <w:rsid w:val="4B2063B3"/>
    <w:rsid w:val="4EAF4057"/>
    <w:rsid w:val="4EB14B75"/>
    <w:rsid w:val="50422B55"/>
    <w:rsid w:val="513B5867"/>
    <w:rsid w:val="53901E9A"/>
    <w:rsid w:val="543E6336"/>
    <w:rsid w:val="562E411A"/>
    <w:rsid w:val="5641747C"/>
    <w:rsid w:val="564365DE"/>
    <w:rsid w:val="566A6F98"/>
    <w:rsid w:val="59851B4C"/>
    <w:rsid w:val="5A2D61D0"/>
    <w:rsid w:val="5B645B7B"/>
    <w:rsid w:val="5C427AAA"/>
    <w:rsid w:val="5C9D1184"/>
    <w:rsid w:val="5DFE6554"/>
    <w:rsid w:val="617C7483"/>
    <w:rsid w:val="61C31248"/>
    <w:rsid w:val="61D0693E"/>
    <w:rsid w:val="61E5284F"/>
    <w:rsid w:val="6222407C"/>
    <w:rsid w:val="62237206"/>
    <w:rsid w:val="625A6513"/>
    <w:rsid w:val="626E6155"/>
    <w:rsid w:val="65167D25"/>
    <w:rsid w:val="6B4A697B"/>
    <w:rsid w:val="6D0370DF"/>
    <w:rsid w:val="6EDF387E"/>
    <w:rsid w:val="6F9C7459"/>
    <w:rsid w:val="6FC00223"/>
    <w:rsid w:val="70274245"/>
    <w:rsid w:val="705604C3"/>
    <w:rsid w:val="709D4EDC"/>
    <w:rsid w:val="715873E6"/>
    <w:rsid w:val="7285473C"/>
    <w:rsid w:val="73B52DFF"/>
    <w:rsid w:val="73CF7E25"/>
    <w:rsid w:val="771D13E7"/>
    <w:rsid w:val="7AC9456E"/>
    <w:rsid w:val="7B8C6B3B"/>
    <w:rsid w:val="7C457811"/>
    <w:rsid w:val="7CA12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560"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link w:val="22"/>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24"/>
    <w:semiHidden/>
    <w:unhideWhenUsed/>
    <w:qFormat/>
    <w:uiPriority w:val="9"/>
    <w:pPr>
      <w:keepNext/>
      <w:keepLines/>
      <w:spacing w:before="260" w:after="260" w:line="412" w:lineRule="auto"/>
      <w:ind w:firstLine="200"/>
      <w:jc w:val="center"/>
      <w:outlineLvl w:val="1"/>
    </w:pPr>
    <w:rPr>
      <w:rFonts w:ascii="Arial" w:hAnsi="Arial" w:eastAsia="黑体" w:cs="Times New Roman"/>
      <w:bCs/>
    </w:rPr>
  </w:style>
  <w:style w:type="paragraph" w:styleId="4">
    <w:name w:val="heading 3"/>
    <w:basedOn w:val="1"/>
    <w:next w:val="1"/>
    <w:link w:val="21"/>
    <w:unhideWhenUsed/>
    <w:qFormat/>
    <w:uiPriority w:val="0"/>
    <w:pPr>
      <w:keepNext/>
      <w:keepLines/>
      <w:ind w:firstLine="0" w:firstLineChars="0"/>
      <w:outlineLvl w:val="2"/>
    </w:pPr>
    <w:rPr>
      <w:rFonts w:eastAsia="楷体_GB2312"/>
      <w:bCs/>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35"/>
    <w:unhideWhenUsed/>
    <w:qFormat/>
    <w:uiPriority w:val="99"/>
    <w:rPr>
      <w:rFonts w:hint="eastAsia" w:ascii="华文仿宋" w:hAnsi="华文仿宋" w:eastAsia="华文仿宋" w:cs="Times New Roman"/>
    </w:rPr>
  </w:style>
  <w:style w:type="paragraph" w:styleId="6">
    <w:name w:val="toc 3"/>
    <w:basedOn w:val="1"/>
    <w:next w:val="1"/>
    <w:autoRedefine/>
    <w:unhideWhenUsed/>
    <w:qFormat/>
    <w:uiPriority w:val="39"/>
    <w:pPr>
      <w:ind w:left="840" w:leftChars="400"/>
    </w:pPr>
  </w:style>
  <w:style w:type="paragraph" w:styleId="7">
    <w:name w:val="Balloon Text"/>
    <w:basedOn w:val="1"/>
    <w:link w:val="46"/>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spacing w:before="120" w:after="120"/>
      <w:jc w:val="left"/>
    </w:pPr>
    <w:rPr>
      <w:rFonts w:eastAsia="黑体" w:cstheme="minorHAnsi"/>
      <w:bCs/>
      <w:caps/>
      <w:sz w:val="28"/>
      <w:szCs w:val="20"/>
    </w:rPr>
  </w:style>
  <w:style w:type="paragraph" w:styleId="11">
    <w:name w:val="toc 2"/>
    <w:basedOn w:val="1"/>
    <w:next w:val="1"/>
    <w:autoRedefine/>
    <w:unhideWhenUsed/>
    <w:qFormat/>
    <w:uiPriority w:val="39"/>
    <w:pPr>
      <w:ind w:left="420" w:leftChars="200"/>
    </w:pPr>
    <w:rPr>
      <w:sz w:val="28"/>
    </w:rPr>
  </w:style>
  <w:style w:type="paragraph" w:styleId="12">
    <w:name w:val="Normal (Web)"/>
    <w:basedOn w:val="1"/>
    <w:unhideWhenUsed/>
    <w:qFormat/>
    <w:uiPriority w:val="99"/>
    <w:rPr>
      <w:sz w:val="24"/>
    </w:rPr>
  </w:style>
  <w:style w:type="table" w:styleId="14">
    <w:name w:val="Table Grid"/>
    <w:basedOn w:val="13"/>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页眉 Char"/>
    <w:basedOn w:val="15"/>
    <w:link w:val="9"/>
    <w:qFormat/>
    <w:uiPriority w:val="99"/>
    <w:rPr>
      <w:sz w:val="18"/>
      <w:szCs w:val="18"/>
    </w:rPr>
  </w:style>
  <w:style w:type="character" w:customStyle="1" w:styleId="18">
    <w:name w:val="页脚 Char"/>
    <w:basedOn w:val="15"/>
    <w:link w:val="8"/>
    <w:qFormat/>
    <w:uiPriority w:val="99"/>
    <w:rPr>
      <w:sz w:val="18"/>
      <w:szCs w:val="18"/>
    </w:rPr>
  </w:style>
  <w:style w:type="paragraph" w:customStyle="1" w:styleId="19">
    <w:name w:val="文本正文"/>
    <w:basedOn w:val="1"/>
    <w:link w:val="20"/>
    <w:qFormat/>
    <w:uiPriority w:val="0"/>
    <w:pPr>
      <w:spacing w:line="240" w:lineRule="auto"/>
      <w:ind w:firstLine="0" w:firstLineChars="0"/>
    </w:pPr>
  </w:style>
  <w:style w:type="character" w:customStyle="1" w:styleId="20">
    <w:name w:val="文本正文 Char"/>
    <w:basedOn w:val="15"/>
    <w:link w:val="19"/>
    <w:qFormat/>
    <w:uiPriority w:val="0"/>
    <w:rPr>
      <w:rFonts w:ascii="Times New Roman" w:hAnsi="Times New Roman" w:eastAsia="仿宋_GB2312"/>
      <w:sz w:val="32"/>
      <w:szCs w:val="32"/>
    </w:rPr>
  </w:style>
  <w:style w:type="character" w:customStyle="1" w:styleId="21">
    <w:name w:val="标题 3 Char1"/>
    <w:basedOn w:val="15"/>
    <w:link w:val="4"/>
    <w:qFormat/>
    <w:uiPriority w:val="0"/>
    <w:rPr>
      <w:rFonts w:eastAsia="楷体_GB2312" w:cstheme="minorBidi"/>
      <w:bCs/>
      <w:kern w:val="2"/>
      <w:sz w:val="32"/>
      <w:szCs w:val="32"/>
    </w:rPr>
  </w:style>
  <w:style w:type="character" w:customStyle="1" w:styleId="22">
    <w:name w:val="标题 1 Char"/>
    <w:basedOn w:val="15"/>
    <w:link w:val="2"/>
    <w:qFormat/>
    <w:uiPriority w:val="9"/>
    <w:rPr>
      <w:rFonts w:ascii="Times New Roman" w:hAnsi="Times New Roman" w:eastAsia="仿宋_GB2312"/>
      <w:b/>
      <w:bCs/>
      <w:kern w:val="44"/>
      <w:sz w:val="44"/>
      <w:szCs w:val="44"/>
    </w:rPr>
  </w:style>
  <w:style w:type="paragraph" w:styleId="23">
    <w:name w:val="List Paragraph"/>
    <w:basedOn w:val="1"/>
    <w:qFormat/>
    <w:uiPriority w:val="34"/>
    <w:pPr>
      <w:ind w:firstLine="420"/>
    </w:pPr>
  </w:style>
  <w:style w:type="character" w:customStyle="1" w:styleId="24">
    <w:name w:val="标题 2 Char"/>
    <w:basedOn w:val="15"/>
    <w:link w:val="3"/>
    <w:qFormat/>
    <w:uiPriority w:val="9"/>
    <w:rPr>
      <w:rFonts w:hint="default" w:ascii="Arial" w:hAnsi="Arial" w:eastAsia="黑体" w:cs="Times New Roman"/>
      <w:bCs/>
      <w:kern w:val="2"/>
      <w:sz w:val="32"/>
      <w:szCs w:val="32"/>
    </w:rPr>
  </w:style>
  <w:style w:type="paragraph" w:customStyle="1" w:styleId="25">
    <w:name w:val="msolistparagraph"/>
    <w:basedOn w:val="1"/>
    <w:qFormat/>
    <w:uiPriority w:val="0"/>
    <w:pPr>
      <w:ind w:firstLine="420"/>
      <w:jc w:val="left"/>
    </w:pPr>
    <w:rPr>
      <w:rFonts w:ascii="Calibri" w:hAnsi="Calibri" w:eastAsia="楷体" w:cs="Times New Roman"/>
      <w:szCs w:val="22"/>
    </w:rPr>
  </w:style>
  <w:style w:type="character" w:customStyle="1" w:styleId="26">
    <w:name w:val="列出段落 Char"/>
    <w:basedOn w:val="15"/>
    <w:qFormat/>
    <w:uiPriority w:val="34"/>
    <w:rPr>
      <w:rFonts w:hint="default" w:ascii="Times New Roman" w:hAnsi="Times New Roman" w:eastAsia="仿宋_GB2312" w:cs="Times New Roman"/>
      <w:kern w:val="2"/>
      <w:sz w:val="32"/>
      <w:szCs w:val="32"/>
    </w:rPr>
  </w:style>
  <w:style w:type="paragraph" w:customStyle="1" w:styleId="27">
    <w:name w:val="段首主题句"/>
    <w:basedOn w:val="1"/>
    <w:link w:val="28"/>
    <w:qFormat/>
    <w:uiPriority w:val="0"/>
    <w:pPr>
      <w:ind w:left="200" w:leftChars="200" w:firstLine="0" w:firstLineChars="0"/>
      <w:jc w:val="left"/>
    </w:pPr>
    <w:rPr>
      <w:rFonts w:eastAsia="楷体" w:cs="Times New Roman"/>
    </w:rPr>
  </w:style>
  <w:style w:type="character" w:customStyle="1" w:styleId="28">
    <w:name w:val="段首主题句 Char"/>
    <w:basedOn w:val="15"/>
    <w:link w:val="27"/>
    <w:qFormat/>
    <w:uiPriority w:val="0"/>
    <w:rPr>
      <w:rFonts w:hint="default" w:ascii="Times New Roman" w:hAnsi="Times New Roman" w:eastAsia="楷体" w:cs="Times New Roman"/>
      <w:kern w:val="2"/>
      <w:sz w:val="32"/>
      <w:szCs w:val="32"/>
    </w:rPr>
  </w:style>
  <w:style w:type="character" w:customStyle="1" w:styleId="29">
    <w:name w:val="专栏文字格式 字符"/>
    <w:basedOn w:val="15"/>
    <w:link w:val="30"/>
    <w:qFormat/>
    <w:uiPriority w:val="0"/>
    <w:rPr>
      <w:rFonts w:hint="default" w:ascii="Times New Roman" w:hAnsi="Times New Roman" w:eastAsia="宋体" w:cs="Times New Roman"/>
      <w:color w:val="000000"/>
      <w:sz w:val="28"/>
      <w:szCs w:val="22"/>
    </w:rPr>
  </w:style>
  <w:style w:type="paragraph" w:customStyle="1" w:styleId="30">
    <w:name w:val="专栏文字格式"/>
    <w:basedOn w:val="1"/>
    <w:link w:val="29"/>
    <w:qFormat/>
    <w:uiPriority w:val="0"/>
    <w:pPr>
      <w:widowControl/>
      <w:tabs>
        <w:tab w:val="left" w:pos="360"/>
      </w:tabs>
      <w:spacing w:line="480" w:lineRule="exact"/>
      <w:ind w:firstLine="200"/>
    </w:pPr>
    <w:rPr>
      <w:rFonts w:eastAsia="宋体" w:cs="Times New Roman"/>
      <w:color w:val="000000"/>
      <w:kern w:val="0"/>
      <w:sz w:val="28"/>
      <w:szCs w:val="22"/>
    </w:rPr>
  </w:style>
  <w:style w:type="character" w:customStyle="1" w:styleId="31">
    <w:name w:val="nj正文 字符"/>
    <w:basedOn w:val="15"/>
    <w:link w:val="32"/>
    <w:qFormat/>
    <w:uiPriority w:val="0"/>
    <w:rPr>
      <w:rFonts w:hint="eastAsia" w:ascii="宋体" w:hAnsi="宋体" w:eastAsia="仿宋_GB2312" w:cs="宋体"/>
      <w:color w:val="000000"/>
      <w:sz w:val="32"/>
      <w:szCs w:val="22"/>
    </w:rPr>
  </w:style>
  <w:style w:type="paragraph" w:customStyle="1" w:styleId="32">
    <w:name w:val="nj正文"/>
    <w:basedOn w:val="1"/>
    <w:link w:val="31"/>
    <w:qFormat/>
    <w:uiPriority w:val="0"/>
    <w:pPr>
      <w:widowControl/>
      <w:spacing w:line="360" w:lineRule="auto"/>
      <w:jc w:val="left"/>
    </w:pPr>
    <w:rPr>
      <w:rFonts w:hint="eastAsia" w:ascii="宋体" w:hAnsi="Calibri" w:cs="Times New Roman"/>
      <w:color w:val="000000"/>
      <w:kern w:val="0"/>
      <w:szCs w:val="22"/>
    </w:rPr>
  </w:style>
  <w:style w:type="paragraph" w:customStyle="1" w:styleId="33">
    <w:name w:val="专栏标题"/>
    <w:basedOn w:val="1"/>
    <w:link w:val="34"/>
    <w:qFormat/>
    <w:uiPriority w:val="0"/>
    <w:pPr>
      <w:tabs>
        <w:tab w:val="left" w:pos="360"/>
      </w:tabs>
      <w:spacing w:line="400" w:lineRule="exact"/>
      <w:ind w:firstLine="482"/>
    </w:pPr>
    <w:rPr>
      <w:rFonts w:eastAsia="宋体" w:cs="Times New Roman"/>
      <w:b/>
      <w:sz w:val="24"/>
      <w:szCs w:val="22"/>
    </w:rPr>
  </w:style>
  <w:style w:type="character" w:customStyle="1" w:styleId="34">
    <w:name w:val="专栏标题 字符"/>
    <w:basedOn w:val="15"/>
    <w:link w:val="33"/>
    <w:qFormat/>
    <w:uiPriority w:val="0"/>
    <w:rPr>
      <w:rFonts w:hint="default" w:ascii="Times New Roman" w:hAnsi="Times New Roman" w:eastAsia="宋体" w:cs="Times New Roman"/>
      <w:b/>
      <w:kern w:val="2"/>
      <w:sz w:val="24"/>
      <w:szCs w:val="22"/>
    </w:rPr>
  </w:style>
  <w:style w:type="character" w:customStyle="1" w:styleId="35">
    <w:name w:val="正文文本 Char"/>
    <w:basedOn w:val="15"/>
    <w:link w:val="5"/>
    <w:qFormat/>
    <w:uiPriority w:val="99"/>
    <w:rPr>
      <w:rFonts w:hint="eastAsia" w:ascii="华文仿宋" w:hAnsi="华文仿宋" w:eastAsia="华文仿宋" w:cs="华文仿宋"/>
      <w:kern w:val="2"/>
      <w:sz w:val="32"/>
      <w:szCs w:val="32"/>
    </w:rPr>
  </w:style>
  <w:style w:type="character" w:customStyle="1" w:styleId="36">
    <w:name w:val="标题 3 Char"/>
    <w:basedOn w:val="15"/>
    <w:qFormat/>
    <w:uiPriority w:val="0"/>
    <w:rPr>
      <w:rFonts w:hint="default" w:ascii="Times New Roman" w:hAnsi="Times New Roman" w:eastAsia="楷体_GB2312" w:cs="Times New Roman"/>
      <w:b/>
      <w:bCs/>
      <w:kern w:val="2"/>
      <w:sz w:val="32"/>
      <w:szCs w:val="32"/>
    </w:rPr>
  </w:style>
  <w:style w:type="paragraph" w:customStyle="1" w:styleId="37">
    <w:name w:val="附录表格文字"/>
    <w:basedOn w:val="1"/>
    <w:qFormat/>
    <w:uiPriority w:val="0"/>
    <w:pPr>
      <w:widowControl/>
      <w:tabs>
        <w:tab w:val="left" w:pos="360"/>
      </w:tabs>
      <w:spacing w:line="240" w:lineRule="auto"/>
      <w:ind w:firstLine="0" w:firstLineChars="0"/>
      <w:jc w:val="center"/>
    </w:pPr>
    <w:rPr>
      <w:rFonts w:cs="Times New Roman"/>
      <w:kern w:val="0"/>
      <w:sz w:val="21"/>
      <w:szCs w:val="21"/>
    </w:rPr>
  </w:style>
  <w:style w:type="character" w:customStyle="1" w:styleId="38">
    <w:name w:val="表格文字 字符"/>
    <w:basedOn w:val="15"/>
    <w:link w:val="39"/>
    <w:qFormat/>
    <w:uiPriority w:val="0"/>
    <w:rPr>
      <w:rFonts w:hint="default" w:ascii="Times New Roman" w:hAnsi="Times New Roman" w:eastAsia="仿宋_GB2312" w:cs="等线"/>
      <w:sz w:val="21"/>
      <w:szCs w:val="21"/>
    </w:rPr>
  </w:style>
  <w:style w:type="paragraph" w:customStyle="1" w:styleId="39">
    <w:name w:val="表格文字"/>
    <w:basedOn w:val="1"/>
    <w:link w:val="38"/>
    <w:qFormat/>
    <w:uiPriority w:val="0"/>
    <w:pPr>
      <w:widowControl/>
      <w:tabs>
        <w:tab w:val="left" w:pos="360"/>
      </w:tabs>
      <w:spacing w:line="240" w:lineRule="auto"/>
      <w:ind w:firstLine="200"/>
      <w:jc w:val="center"/>
    </w:pPr>
    <w:rPr>
      <w:rFonts w:cs="Times New Roman"/>
      <w:kern w:val="0"/>
      <w:sz w:val="21"/>
      <w:szCs w:val="21"/>
    </w:rPr>
  </w:style>
  <w:style w:type="paragraph" w:customStyle="1" w:styleId="40">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1">
    <w:name w:val="附表正文"/>
    <w:basedOn w:val="1"/>
    <w:qFormat/>
    <w:uiPriority w:val="0"/>
    <w:pPr>
      <w:spacing w:line="240" w:lineRule="auto"/>
      <w:ind w:firstLine="0" w:firstLineChars="0"/>
      <w:jc w:val="center"/>
    </w:pPr>
    <w:rPr>
      <w:sz w:val="21"/>
    </w:rPr>
  </w:style>
  <w:style w:type="character" w:customStyle="1" w:styleId="42">
    <w:name w:val="fontstyle01"/>
    <w:basedOn w:val="15"/>
    <w:qFormat/>
    <w:uiPriority w:val="0"/>
    <w:rPr>
      <w:rFonts w:hint="eastAsia" w:ascii="楷体_GB2312" w:eastAsia="楷体_GB2312"/>
      <w:color w:val="000000"/>
      <w:sz w:val="32"/>
      <w:szCs w:val="32"/>
    </w:rPr>
  </w:style>
  <w:style w:type="character" w:customStyle="1" w:styleId="43">
    <w:name w:val="fontstyle21"/>
    <w:basedOn w:val="15"/>
    <w:qFormat/>
    <w:uiPriority w:val="0"/>
    <w:rPr>
      <w:rFonts w:hint="eastAsia" w:ascii="仿宋_GB2312" w:eastAsia="仿宋_GB2312"/>
      <w:color w:val="000000"/>
      <w:sz w:val="32"/>
      <w:szCs w:val="32"/>
    </w:rPr>
  </w:style>
  <w:style w:type="character" w:customStyle="1" w:styleId="44">
    <w:name w:val="fontstyle31"/>
    <w:basedOn w:val="15"/>
    <w:qFormat/>
    <w:uiPriority w:val="0"/>
    <w:rPr>
      <w:rFonts w:hint="default" w:ascii="TimesNewRomanPSMT" w:hAnsi="TimesNewRomanPSMT"/>
      <w:color w:val="000000"/>
      <w:sz w:val="32"/>
      <w:szCs w:val="32"/>
    </w:rPr>
  </w:style>
  <w:style w:type="paragraph" w:customStyle="1" w:styleId="45">
    <w:name w:val="0609附表正文"/>
    <w:basedOn w:val="1"/>
    <w:qFormat/>
    <w:uiPriority w:val="0"/>
    <w:pPr>
      <w:adjustRightInd w:val="0"/>
      <w:snapToGrid w:val="0"/>
      <w:spacing w:line="240" w:lineRule="auto"/>
      <w:ind w:firstLine="0" w:firstLineChars="0"/>
      <w:jc w:val="center"/>
    </w:pPr>
    <w:rPr>
      <w:rFonts w:cs="Times New Roman"/>
      <w:sz w:val="21"/>
      <w:szCs w:val="21"/>
    </w:rPr>
  </w:style>
  <w:style w:type="character" w:customStyle="1" w:styleId="46">
    <w:name w:val="批注框文本 Char"/>
    <w:basedOn w:val="15"/>
    <w:link w:val="7"/>
    <w:semiHidden/>
    <w:qFormat/>
    <w:uiPriority w:val="99"/>
    <w:rPr>
      <w:rFonts w:eastAsia="仿宋_GB2312"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57fb5dac-7c1a-4f51-b9c9-7d07f78dee94</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7D4B2B92</paraID>
      <start>6</start>
      <end>13</end>
      <status>ignored</status>
      <modifiedWord/>
      <trackRevisions>false</trackRevisions>
    </reviewItem>
    <reviewItem>
      <errorID>4c6db94c-3b55-4510-b0ac-928733786c8c</errorID>
      <errorWord>乡全面振兴</errorWord>
      <group>L1_Political</group>
      <groupName>政治性问题</groupName>
      <ability>L2_Keyword</ability>
      <abilityName>固定表述</abilityName>
      <candidateList>
        <item>乡村全面振兴</item>
      </candidateList>
      <explain>词汇“乡村全面振兴”在特定场景下为固定表述形式，请确认此处的“乡全面振兴”是否存在不当。</explain>
      <paraID>54190019</paraID>
      <start>213</start>
      <end>219</end>
      <status>modified</status>
      <modifiedWord>乡村全面振兴</modifiedWord>
      <trackRevisions>false</trackRevisions>
    </reviewItem>
    <reviewItem>
      <errorID>2d073688-f864-4f9c-9f4c-0cdfe73f6301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2F260635</paraID>
      <start>30</start>
      <end>31</end>
      <status>ignored</status>
      <modifiedWord/>
      <trackRevisions>false</trackRevisions>
    </reviewItem>
    <reviewItem>
      <errorID>f43dca9c-a9b9-489f-b495-9c7f0a05b05c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7E880464</paraID>
      <start>17</start>
      <end>18</end>
      <status>modified</status>
      <modifiedWord>—</modifiedWord>
      <trackRevisions>false</trackRevisions>
    </reviewItem>
    <reviewItem>
      <errorID>c9895424-2742-4efb-b9c9-dfc4566898bb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23D5C98D</paraID>
      <start>17</start>
      <end>18</end>
      <status>modified</status>
      <modifiedWord>—</modifiedWord>
      <trackRevisions>false</trackRevisions>
    </reviewItem>
    <reviewItem>
      <errorID>7a3d4711-6667-487e-b662-0250354e4033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42F35DCD</paraID>
      <start>21</start>
      <end>22</end>
      <status>modified</status>
      <modifiedWord>—</modifiedWord>
      <trackRevisions>false</trackRevisions>
    </reviewItem>
    <reviewItem>
      <errorID>dfd707de-eed0-44a0-9dd2-7ea58c0e1d22</errorID>
      <errorWord>文本</errorWord>
      <group>L1_Word</group>
      <groupName>字词问题</groupName>
      <ability>L2_Typo</ability>
      <abilityName>字词错误</abilityName>
      <candidateList>
        <item>本</item>
      </candidateList>
      <explain>❶（～儿）〈名〉本子❶：书～｜账～儿。❷版本：刻～｜抄～｜稿～。❸（～儿）演出的底本：话～｜剧～。❹封建时代指奏章：修～（拟奏章）｜奏上一～。❺（～儿）〈量〉a）用于书籍簿册：五～书｜两～儿账。b）用于戏：头～《西游记》。c）用于一定长度的影片：这部电影是十四～。</explain>
      <paraID>79F5733B</paraID>
      <start>0</start>
      <end>2</end>
      <status>ignored</status>
      <modifiedWord/>
      <trackRevisions>false</trackRevisions>
    </reviewItem>
    <reviewItem>
      <errorID>31ee8899-a2e4-4363-8c0f-4ba73c5e1a5e</errorID>
      <errorWord>治理</errorWord>
      <group>L1_Word</group>
      <groupName>字词问题</groupName>
      <ability>L2_Typo</ability>
      <abilityName>字词错误</abilityName>
      <candidateList>
        <item>整治</item>
      </candidateList>
      <explain>〈动〉❶整理；修理：～旧货市场｜～环境污染｜～河道。❷为了管束、惩罚、打击等，使吃苦头：～坏人｜这匹马真调皮，你替我好好～～它。❸进行某项工作；搞；做：～饭（做饭）｜～庄稼（做田间管理工作）。</explain>
      <paraID>614A6794</paraID>
      <start>24</start>
      <end>26</end>
      <status>modified</status>
      <modifiedWord>整治</modifiedWord>
      <trackRevisions>false</trackRevisions>
    </reviewItem>
    <reviewItem>
      <errorID>5134bcbd-26b8-4303-bdcd-b9c3130ac4b3</errorID>
      <errorWord>流域内</errorWord>
      <group>L1_Word</group>
      <groupName>字词问题</groupName>
      <ability>L2_Typo</ability>
      <abilityName>字词错误</abilityName>
      <candidateList>
        <item>流域</item>
      </candidateList>
      <explain/>
      <paraID> 82C770D</paraID>
      <start>26</start>
      <end>28</end>
      <status>modified</status>
      <modifiedWord>流域</modifiedWord>
      <trackRevisions>false</trackRevisions>
    </reviewItem>
    <reviewItem>
      <errorID>faba56c7-f5ad-4ab4-b808-a7e71624797b</errorID>
      <errorWord>绿色、开放、共享的发展理念</errorWord>
      <group>L1_Word</group>
      <groupName>字词问题</groupName>
      <ability>L2_Typo</ability>
      <abilityName>字词错误</abilityName>
      <candidateList>
        <item>绿色、开放、共享的新发展理念</item>
      </candidateList>
      <explain/>
      <paraID>7D6F3477</paraID>
      <start>15</start>
      <end>28</end>
      <status>ignored</status>
      <modifiedWord/>
      <trackRevisions>false</trackRevisions>
    </reviewItem>
    <reviewItem>
      <errorID>2679110f-04af-42e9-a1cc-1159af34c11e</errorID>
      <errorWord>产</errorWord>
      <group>L1_Word</group>
      <groupName>字词问题</groupName>
      <ability>L2_Typo</ability>
      <abilityName>字词错误</abilityName>
      <candidateList>
        <item>产业</item>
      </candidateList>
      <explain/>
      <paraID>30C2CBC0</paraID>
      <start>9</start>
      <end>11</end>
      <status>modified</status>
      <modifiedWord>产业</modifiedWord>
      <trackRevisions>false</trackRevisions>
    </reviewItem>
    <reviewItem>
      <errorID>95687abf-5804-4176-a1d2-ac4504c9710f</errorID>
      <errorWord>础</errorWord>
      <group>L1_Word</group>
      <groupName>字词问题</groupName>
      <ability>L2_Typo</ability>
      <abilityName>字词错误</abilityName>
      <candidateList>
        <item>础设</item>
      </candidateList>
      <explain/>
      <paraID>252B4540</paraID>
      <start>20</start>
      <end>22</end>
      <status>modified</status>
      <modifiedWord>础设</modifiedWord>
      <trackRevisions>false</trackRevisions>
    </reviewItem>
    <reviewItem>
      <errorID>71e8e3cd-2ace-422c-993c-28fb27b5714d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964F865</paraID>
      <start>19</start>
      <end>20</end>
      <status>modified</status>
      <modifiedWord>—</modifiedWord>
      <trackRevisions>false</trackRevisions>
    </reviewItem>
    <reviewItem>
      <errorID>2cf7a66d-9059-481a-a614-f9169d1f680d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4E158FD1</paraID>
      <start>19</start>
      <end>20</end>
      <status>modified</status>
      <modifiedWord>—</modifiedWord>
      <trackRevisions>false</trackRevisions>
    </reviewItem>
    <reviewItem>
      <errorID>2b07f809-b633-4a1e-b41a-82e5cba1c08b</errorID>
      <errorWord>,</errorWord>
      <group>L1_Format</group>
      <groupName>格式问题</groupName>
      <ability>L2_HalfPunc_CN</ability>
      <abilityName>全半角问题</abilityName>
      <candidateList>
        <item>，</item>
      </candidateList>
      <explain>文本全半角错误。</explain>
      <paraID>1BA2E849</paraID>
      <start>95</start>
      <end>96</end>
      <status>modified</status>
      <modifiedWord>，</modifiedWord>
      <trackRevisions>false</trackRevisions>
    </reviewItem>
    <reviewItem>
      <errorID>8db3da6a-6490-43e9-9679-a03ef396ab65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111E3FDA</paraID>
      <start>19</start>
      <end>20</end>
      <status>modified</status>
      <modifiedWord>—</modifiedWord>
      <trackRevisions>false</trackRevisions>
    </reviewItem>
    <reviewItem>
      <errorID>453862c2-169c-4b44-a5ff-171e95ddcf5a</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6F25702F</paraID>
      <start>12</start>
      <end>24</end>
      <status>modified</status>
      <modifiedWord>中华人民共和国土地管理法</modifiedWord>
      <trackRevisions>false</trackRevisions>
    </reviewItem>
    <reviewItem>
      <errorID>309add74-655c-415c-a454-fc1330aadcca</errorID>
      <errorWord>土地管理法实施条例</errorWord>
      <group>L1_Knowledge</group>
      <groupName>知识性问题</groupName>
      <ability>L2_Knowledge</ability>
      <abilityName>其他知识</abilityName>
      <candidateList>
        <item>中华人民共和国土地管理法实施条例</item>
      </candidateList>
      <explain>当前法律法规名称使用简称，请注意是否应当使用全称。</explain>
      <paraID>6F25702F</paraID>
      <start>26</start>
      <end>42</end>
      <status>modified</status>
      <modifiedWord>中华人民共和国土地管理法实施条例</modifiedWord>
      <trackRevisions>false</trackRevisions>
    </reviewItem>
    <reviewItem>
      <errorID>afd8fbf6-5fa4-4908-a933-9af11e1ceaa7</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48AB10CB</paraID>
      <start>32</start>
      <end>35</end>
      <status>modified</status>
      <modifiedWord>必需的</modifiedWord>
      <trackRevisions>false</trackRevisions>
    </reviewItem>
    <reviewItem>
      <errorID>13a4b094-fdc1-4afa-8573-34b6b4b74959</errorID>
      <errorWord>III级</errorWord>
      <group>L1_Knowledge</group>
      <groupName>知识性问题</groupName>
      <ability>L2_Knowledge</ability>
      <abilityName>其他知识</abilityName>
      <candidateList>
        <item>Ⅲ级</item>
      </candidateList>
      <explain>中文环境下罗马数字格式错误。</explain>
      <paraID>2B2169A4</paraID>
      <start>32</start>
      <end>34</end>
      <status>modified</status>
      <modifiedWord>Ⅲ级</modifiedWord>
      <trackRevisions>false</trackRevisions>
    </reviewItem>
    <reviewItem>
      <errorID>75ad10b1-da79-4334-ab75-e3ae45ff8163</errorID>
      <errorWord>IV级</errorWord>
      <group>L1_Knowledge</group>
      <groupName>知识性问题</groupName>
      <ability>L2_Knowledge</ability>
      <abilityName>其他知识</abilityName>
      <candidateList>
        <item>Ⅳ级</item>
      </candidateList>
      <explain>中文环境下罗马数字格式错误。</explain>
      <paraID>2B2169A4</paraID>
      <start>37</start>
      <end>39</end>
      <status>modified</status>
      <modifiedWord>Ⅳ级</modifiedWord>
      <trackRevisions>false</trackRevisions>
    </reviewItem>
    <reviewItem>
      <errorID>88bbd7ea-b2da-40f2-9525-126d9871d6cd</errorID>
      <errorWord>节约节约利用</errorWord>
      <group>L1_Word</group>
      <groupName>字词问题</groupName>
      <ability>L2_Typo</ability>
      <abilityName>字词错误</abilityName>
      <candidateList>
        <item>节约集约利用</item>
      </candidateList>
      <explain/>
      <paraID>157266D2</paraID>
      <start>2</start>
      <end>8</end>
      <status>modified</status>
      <modifiedWord>节约集约利用</modifiedWord>
      <trackRevisions>false</trackRevisions>
    </reviewItem>
    <reviewItem>
      <errorID>fbaf8025-59d3-42d2-820e-4b76ffae94f1</errorID>
      <errorWord>恢复为</errorWord>
      <group>L1_Word</group>
      <groupName>字词问题</groupName>
      <ability>L2_Typo</ability>
      <abilityName>字词错误</abilityName>
      <candidateList>
        <item>恢复</item>
      </candidateList>
      <explain/>
      <paraID> 1F37568</paraID>
      <start>186</start>
      <end>188</end>
      <status>modified</status>
      <modifiedWord>恢复</modifiedWord>
      <trackRevisions>false</trackRevisions>
    </reviewItem>
    <reviewItem>
      <errorID>c2327193-643a-4386-a4b5-e8ca75b1798f</errorID>
      <errorWord>，</errorWord>
      <group>L1_Word</group>
      <groupName>字词问题</groupName>
      <ability>L2_Typo</ability>
      <abilityName>字词错误</abilityName>
      <candidateList>
        <item>，在</item>
      </candidateList>
      <explain/>
      <paraID>42097303</paraID>
      <start>27</start>
      <end>29</end>
      <status>modified</status>
      <modifiedWord>，在</modifiedWord>
      <trackRevisions>false</trackRevisions>
    </reviewItem>
    <reviewItem>
      <errorID>c5f4db8a-ec30-49db-a2a5-cd936529c426</errorID>
      <errorWord>--</errorWord>
      <group>L1_Punc</group>
      <groupName>标点问题</groupName>
      <ability>L2_Punc_CN</ability>
      <abilityName>标点符号问题</abilityName>
      <candidateList>
        <item>——</item>
      </candidateList>
      <explain>破折号或连接号疑似使用错误。</explain>
      <paraID>16103C22</paraID>
      <start>20</start>
      <end>22</end>
      <status>modified</status>
      <modifiedWord>——</modifiedWord>
      <trackRevisions>false</trackRevisions>
    </reviewItem>
    <reviewItem>
      <errorID>d91b9bd1-f0d1-4762-a315-14465e71c81a</errorID>
      <errorWord>强</errorWord>
      <group>L1_Word</group>
      <groupName>字词问题</groupName>
      <ability>L2_Typo</ability>
      <abilityName>字词错误</abilityName>
      <candidateList>
        <item>强农</item>
      </candidateList>
      <explain/>
      <paraID>12AE5B0D</paraID>
      <start>86</start>
      <end>88</end>
      <status>modified</status>
      <modifiedWord>强农</modifiedWord>
      <trackRevisions>false</trackRevisions>
    </reviewItem>
    <reviewItem>
      <errorID>b5776a36-1fe1-4280-88d8-a879e86a5fb7</errorID>
      <errorWord>:</errorWord>
      <group>L1_Format</group>
      <groupName>格式问题</groupName>
      <ability>L2_HalfPunc_CN</ability>
      <abilityName>全半角问题</abilityName>
      <candidateList>
        <item>：</item>
      </candidateList>
      <explain>文本全半角错误。</explain>
      <paraID>1427025A</paraID>
      <start>19</start>
      <end>20</end>
      <status>modified</status>
      <modifiedWord>：</modifiedWord>
      <trackRevisions>false</trackRevisions>
    </reviewItem>
    <reviewItem>
      <errorID>0b7acb87-bc36-41b9-94ce-54e8ff6ec9f9</errorID>
      <errorWord>头</errorWord>
      <group>L1_Word</group>
      <groupName>字词问题</groupName>
      <ability>L2_Typo</ability>
      <abilityName>字词错误</abilityName>
      <candidateList>
        <item>头路</item>
      </candidateList>
      <explain/>
      <paraID>43F851DA</paraID>
      <start>28</start>
      <end>30</end>
      <status>modified</status>
      <modifiedWord>头路</modifiedWord>
      <trackRevisions>false</trackRevisions>
    </reviewItem>
    <reviewItem>
      <errorID>73fb2707-b548-4f38-ab6d-9b060f62e39d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79EB0A16</paraID>
      <start>65</start>
      <end>66</end>
      <status>modified</status>
      <modifiedWord>—</modifiedWord>
      <trackRevisions>false</trackRevisions>
    </reviewItem>
    <reviewItem>
      <errorID>761fa196-78ee-4d49-8521-38c4f3118078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75AAE4B8</paraID>
      <start>0</start>
      <end>2</end>
      <status>modified</status>
      <modifiedWord>1.</modifiedWord>
      <trackRevisions>false</trackRevisions>
    </reviewItem>
    <reviewItem>
      <errorID>9728ba51-2ad8-494f-bdaf-85cd04b5efed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3CABDC9B</paraID>
      <start>0</start>
      <end>2</end>
      <status>modified</status>
      <modifiedWord>2.</modifiedWord>
      <trackRevisions>false</trackRevisions>
    </reviewItem>
    <reviewItem>
      <errorID>f654d3e5-2823-458d-a741-548c59d6e84f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1867FE54</paraID>
      <start>0</start>
      <end>2</end>
      <status>modified</status>
      <modifiedWord>1.</modifiedWord>
      <trackRevisions>false</trackRevisions>
    </reviewItem>
    <reviewItem>
      <errorID>045a9a45-471d-47cb-a9c1-9674d95091f8</errorID>
      <errorWord>污水量</errorWord>
      <group>L1_Word</group>
      <groupName>字词问题</groupName>
      <ability>L2_Typo</ability>
      <abilityName>字词错误</abilityName>
      <candidateList>
        <item>污水</item>
      </candidateList>
      <explain/>
      <paraID>71259C0B</paraID>
      <start>9</start>
      <end>11</end>
      <status>modified</status>
      <modifiedWord>污水</modifiedWord>
      <trackRevisions>false</trackRevisions>
    </reviewItem>
    <reviewItem>
      <errorID>4ae0d110-5c5b-4e86-8b08-912a59814b27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454AD3B</paraID>
      <start>0</start>
      <end>2</end>
      <status>modified</status>
      <modifiedWord>2.</modifiedWord>
      <trackRevisions>false</trackRevisions>
    </reviewItem>
    <reviewItem>
      <errorID>e2c93eb7-f86f-42a4-bd0a-ced73de20571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44409536</paraID>
      <start>0</start>
      <end>2</end>
      <status>modified</status>
      <modifiedWord>1.</modifiedWord>
      <trackRevisions>false</trackRevisions>
    </reviewItem>
    <reviewItem>
      <errorID>bff155dc-66bd-44ce-87eb-e2cff66ae43d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4CECBDB8</paraID>
      <start>0</start>
      <end>2</end>
      <status>modified</status>
      <modifiedWord>2.</modifiedWord>
      <trackRevisions>false</trackRevisions>
    </reviewItem>
    <reviewItem>
      <errorID>b04e9168-bb0d-447a-b6f9-6a73a563b2ec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13905159</paraID>
      <start>0</start>
      <end>2</end>
      <status>modified</status>
      <modifiedWord>3.</modifiedWord>
      <trackRevisions>false</trackRevisions>
    </reviewItem>
    <reviewItem>
      <errorID>db3f80c1-ffa0-40bf-b690-2c1776aa160e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376560A2</paraID>
      <start>12</start>
      <end>13</end>
      <status>modified</status>
      <modifiedWord>—</modifiedWord>
      <trackRevisions>false</trackRevisions>
    </reviewItem>
    <reviewItem>
      <errorID>c882345e-6366-474f-a52e-d17b2227d197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28E34D9A</paraID>
      <start>0</start>
      <end>2</end>
      <status>modified</status>
      <modifiedWord>1.</modifiedWord>
      <trackRevisions>false</trackRevisions>
    </reviewItem>
    <reviewItem>
      <errorID>7f8eae7d-d841-4fb1-ab0e-0dac131ddede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2E644E62</paraID>
      <start>0</start>
      <end>2</end>
      <status>modified</status>
      <modifiedWord>2.</modifiedWord>
      <trackRevisions>false</trackRevisions>
    </reviewItem>
    <reviewItem>
      <errorID>d7c1b793-2ce6-492b-8b25-f0461f7f56b9</errorID>
      <errorWord>配制</errorWord>
      <group>L1_Word</group>
      <groupName>字词问题</groupName>
      <ability>L2_Typo</ability>
      <abilityName>字词错误</abilityName>
      <candidateList>
        <item>配置</item>
      </candidateList>
      <explain>〈动〉配备布置：～兵力。</explain>
      <paraID>5AC6AC9B</paraID>
      <start>9</start>
      <end>11</end>
      <status>modified</status>
      <modifiedWord>配置</modifiedWord>
      <trackRevisions>false</trackRevisions>
    </reviewItem>
    <reviewItem>
      <errorID>cbad1499-7900-433a-bfd3-8b80d41e3f9c</errorID>
      <errorWord>-</errorWord>
      <group>L1_Format</group>
      <groupName>格式问题</groupName>
      <ability>L2_HalfPunc_CN</ability>
      <abilityName>全半角问题</abilityName>
      <candidateList>
        <item>－</item>
      </candidateList>
      <explain>文本全半角错误。</explain>
      <paraID>40BD38E0</paraID>
      <start>5</start>
      <end>6</end>
      <status>modified</status>
      <modifiedWord>－</modifiedWord>
      <trackRevisions>false</trackRevisions>
    </reviewItem>
    <reviewItem>
      <errorID>bc3e3a54-f36e-4fa0-9620-ec9de083635a</errorID>
      <errorWord>互助型养老服务</errorWord>
      <group>L1_Political</group>
      <groupName>政治性问题</groupName>
      <ability>L2_Keyword</ability>
      <abilityName>固定表述</abilityName>
      <candidateList>
        <item>互助性养老服务</item>
      </candidateList>
      <explain>词汇“互助性养老服务”在特定场景下为固定表述形式，请确认此处的“互助型养老服务”是否存在不当。</explain>
      <paraID>356460C8</paraID>
      <start>110</start>
      <end>117</end>
      <status>modified</status>
      <modifiedWord>互助性养老服务</modifiedWord>
      <trackRevisions>false</trackRevisions>
    </reviewItem>
    <reviewItem>
      <errorID>daf09b37-4c7b-43e6-8ff2-be5365280cb2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2B0DE6E0</paraID>
      <start>25</start>
      <end>26</end>
      <status>modified</status>
      <modifiedWord>—</modifiedWord>
      <trackRevisions>false</trackRevisions>
    </reviewItem>
    <reviewItem>
      <errorID>3cd3a2c2-98b3-4afd-86a1-81573f3014ec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2B0DE6E0</paraID>
      <start>51</start>
      <end>52</end>
      <status>modified</status>
      <modifiedWord>—</modifiedWord>
      <trackRevisions>false</trackRevisions>
    </reviewItem>
    <reviewItem>
      <errorID>e003244b-f70f-45f0-b720-bdf8e3aa3ddb</errorID>
      <errorWord>、等</errorWord>
      <group>L1_Punc</group>
      <groupName>标点问题</groupName>
      <ability>L2_Punc_CN</ability>
      <abilityName>标点符号问题</abilityName>
      <candidateList>
        <item>等</item>
      </candidateList>
      <explain>“及”“和”“等”连词前不宜使用顿号，建议删除（或使用逗号）。</explain>
      <paraID>46694B33</paraID>
      <start>18</start>
      <end>19</end>
      <status>modified</status>
      <modifiedWord>等</modifiedWord>
      <trackRevisions>false</trackRevisions>
    </reviewItem>
    <reviewItem>
      <errorID>47b85a26-e5f2-4b45-a7ff-c05d626c1fa3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536403F6</paraID>
      <start>91</start>
      <end>93</end>
      <status>modified</status>
      <modifiedWord>”“</modifiedWord>
      <trackRevisions>false</trackRevisions>
    </reviewItem>
    <reviewItem>
      <errorID>b978b159-bfc1-4732-b865-4ef3c038bf15</errorID>
      <errorWord>防患于未燃</errorWord>
      <group>L1_Word</group>
      <groupName>字词问题</groupName>
      <ability>L2_Typo</ability>
      <abilityName>字词错误</abilityName>
      <candidateList>
        <item>防患于未然</item>
      </candidateList>
      <explain>患：灾祸；未然：没有这样，指尚未形成。防止事故或祸害于尚未发生之前。</explain>
      <paraID>61ECDFAD</paraID>
      <start>29</start>
      <end>34</end>
      <status>modified</status>
      <modifiedWord>防患于未然</modifiedWord>
      <trackRevisions>false</trackRevisions>
    </reviewItem>
    <reviewItem>
      <errorID>09f4ecad-458a-4a20-bcc8-e0a7193b4534</errorID>
      <errorWord>(</errorWord>
      <group>L1_Format</group>
      <groupName>格式问题</groupName>
      <ability>L2_HalfPunc_CN</ability>
      <abilityName>全半角问题</abilityName>
      <candidateList>
        <item>（</item>
      </candidateList>
      <explain>文本全半角错误。</explain>
      <paraID>3042EFCB</paraID>
      <start>17</start>
      <end>18</end>
      <status>modified</status>
      <modifiedWord>（</modifiedWord>
      <trackRevisions>false</trackRevisions>
    </reviewItem>
    <reviewItem>
      <errorID>0647c90a-9793-4057-af9f-a9af7673b444</errorID>
      <errorWord>)</errorWord>
      <group>L1_Format</group>
      <groupName>格式问题</groupName>
      <ability>L2_HalfPunc_CN</ability>
      <abilityName>全半角问题</abilityName>
      <candidateList>
        <item>）</item>
      </candidateList>
      <explain>文本全半角错误。</explain>
      <paraID>3042EFCB</paraID>
      <start>28</start>
      <end>29</end>
      <status>modified</status>
      <modifiedWord>）</modifiedWord>
      <trackRevisions>false</trackRevisions>
    </reviewItem>
    <reviewItem>
      <errorID>f6c7b37c-b4e4-46b0-bf58-2ed4d23eb2c0</errorID>
      <errorWord>-</errorWord>
      <group>L1_Format</group>
      <groupName>格式问题</groupName>
      <ability>L2_HalfPunc_CN</ability>
      <abilityName>全半角问题</abilityName>
      <candidateList>
        <item>－</item>
      </candidateList>
      <explain>文本全半角错误。</explain>
      <paraID>10F77836</paraID>
      <start>33</start>
      <end>34</end>
      <status>modified</status>
      <modifiedWord>－</modifiedWord>
      <trackRevisions>false</trackRevisions>
    </reviewItem>
    <reviewItem>
      <errorID>d9f49e4f-29e3-4ea7-9f9b-ddf01cf5d696</errorID>
      <errorWord>化</errorWord>
      <group>L1_Word</group>
      <groupName>字词问题</groupName>
      <ability>L2_Typo</ability>
      <abilityName>字词错误</abilityName>
      <candidateList>
        <item>化和</item>
      </candidateList>
      <explain/>
      <paraID> 5DBB4B5</paraID>
      <start>61</start>
      <end>63</end>
      <status>modified</status>
      <modifiedWord>化和</modifiedWord>
      <trackRevisions>false</trackRevisions>
    </reviewItem>
    <reviewItem>
      <errorID>7ea3834c-43d0-47e5-9a51-4140c67b0fab</errorID>
      <errorWord>，</errorWord>
      <group>L1_Word</group>
      <groupName>字词问题</groupName>
      <ability>L2_Typo</ability>
      <abilityName>字词错误</abilityName>
      <candidateList>
        <item>，把</item>
      </candidateList>
      <explain/>
      <paraID>41DDF933</paraID>
      <start>26</start>
      <end>28</end>
      <status>modified</status>
      <modifiedWord>，把</modifiedWord>
      <trackRevisions>false</trackRevisions>
    </reviewItem>
    <reviewItem>
      <errorID>7ca1f18e-7e0d-48e3-aa32-fe8e3984a638</errorID>
      <errorWord>连</errorWord>
      <group>L1_Word</group>
      <groupName>字词问题</groupName>
      <ability>L2_Typo</ability>
      <abilityName>字词错误</abilityName>
      <candidateList>
        <item>连的</item>
      </candidateList>
      <explain/>
      <paraID>5AFB5514</paraID>
      <start>122</start>
      <end>124</end>
      <status>modified</status>
      <modifiedWord>连的</modifiedWord>
      <trackRevisions>false</trackRevisions>
    </reviewItem>
    <reviewItem>
      <errorID>93b2736f-e6ee-4fd0-8919-f2342aca0fbf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7301A8E8</paraID>
      <start>37</start>
      <end>38</end>
      <status>modified</status>
      <modifiedWord>—</modifiedWord>
      <trackRevisions>false</trackRevisions>
    </reviewItem>
    <reviewItem>
      <errorID>35459c54-c8f5-4d6e-8484-db9049d92b05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4A3D62C7</paraID>
      <start>99</start>
      <end>100</end>
      <status>modified</status>
      <modifiedWord>—</modifiedWord>
      <trackRevisions>false</trackRevisions>
    </reviewItem>
    <reviewItem>
      <errorID>f771a95e-92df-436f-b4a9-0aa5fe0e2d84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4A3D62C7</paraID>
      <start>112</start>
      <end>113</end>
      <status>modified</status>
      <modifiedWord>—</modifiedWord>
      <trackRevisions>false</trackRevisions>
    </reviewItem>
    <reviewItem>
      <errorID>c3bbd98e-043e-4dfe-8298-6099be76a696</errorID>
      <errorWord>实施对</errorWord>
      <group>L1_Word</group>
      <groupName>字词问题</groupName>
      <ability>L2_Typo</ability>
      <abilityName>字词错误</abilityName>
      <candidateList>
        <item>实施</item>
      </candidateList>
      <explain>〈动〉实行（法令、政策等）：付诸～｜～细则｜～新的办法。</explain>
      <paraID>4E47788D</paraID>
      <start>0</start>
      <end>2</end>
      <status>modified</status>
      <modifiedWord>实施</modifiedWord>
      <trackRevisions>false</trackRevisions>
    </reviewItem>
    <reviewItem>
      <errorID>451dc09c-57d4-464b-b547-9134525cda21</errorID>
      <errorWord>参与与</errorWord>
      <group>L1_Word</group>
      <groupName>字词问题</groupName>
      <ability>L2_Typo</ability>
      <abilityName>字词错误</abilityName>
      <candidateList>
        <item>参与</item>
      </candidateList>
      <explain>（参预）cānyù〈动〉参加（事务的计划、讨论、处理）：～其事｜他曾～这个规划的制订工作。</explain>
      <paraID>73D84537</paraID>
      <start>2</start>
      <end>4</end>
      <status>modified</status>
      <modifiedWord>参与</modifiedWord>
      <trackRevisions>false</trackRevisions>
    </reviewItem>
    <reviewItem>
      <errorID>85fadbaa-ca81-4ad0-92b1-1bd79120fce4</errorID>
      <errorWord>绥化绥化</errorWord>
      <group>L1_Word</group>
      <groupName>字词问题</groupName>
      <ability>L2_Typo</ability>
      <abilityName>字词错误</abilityName>
      <candidateList>
        <item>绥化</item>
      </candidateList>
      <explain/>
      <paraID>43FC1A2F</paraID>
      <start>0</start>
      <end>2</end>
      <status>modified</status>
      <modifiedWord>绥化</modifiedWord>
      <trackRevisions>false</trackRevisions>
    </reviewItem>
  </reviewItems>
  <config/>
</contractReview>
</file>

<file path=customXml/itemProps1.xml><?xml version="1.0" encoding="utf-8"?>
<ds:datastoreItem xmlns:ds="http://schemas.openxmlformats.org/officeDocument/2006/customXml" ds:itemID="{F9CB88C8-C192-41AF-99D2-061ABC2FD831}">
  <ds:schemaRefs/>
</ds:datastoreItem>
</file>

<file path=customXml/itemProps2.xml><?xml version="1.0" encoding="utf-8"?>
<ds:datastoreItem xmlns:ds="http://schemas.openxmlformats.org/officeDocument/2006/customXml" ds:itemID="{F72827A9-AD6F-45C9-ADB1-4491BFF7A2B3}">
  <ds:schemaRefs/>
</ds:datastoreItem>
</file>

<file path=docProps/app.xml><?xml version="1.0" encoding="utf-8"?>
<Properties xmlns="http://schemas.openxmlformats.org/officeDocument/2006/extended-properties" xmlns:vt="http://schemas.openxmlformats.org/officeDocument/2006/docPropsVTypes">
  <Template>Normal</Template>
  <Pages>48</Pages>
  <Words>447</Words>
  <Characters>488</Characters>
  <Lines>142</Lines>
  <Paragraphs>40</Paragraphs>
  <TotalTime>168</TotalTime>
  <ScaleCrop>false</ScaleCrop>
  <LinksUpToDate>false</LinksUpToDate>
  <CharactersWithSpaces>651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2026-06-27T12:00:00Z</dcterms:created>
  <dc:creator>Administrator</dc:creator>
  <cp:lastModifiedBy>小道消息</cp:lastModifiedBy>
  <cp:lastPrinted>2026-06-27T12:00:00Z</cp:lastPrinted>
  <dcterms:modified xsi:type="dcterms:W3CDTF">2026-09-14T08:45:46Z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CE10A8194EB9465683DBED913F98C879_13</vt:lpwstr>
  </property>
  <property fmtid="{D5CDD505-2E9C-101B-9397-08002B2CF9AE}" pid="4" name="KSOTemplateDocerSaveRecord">
    <vt:lpwstr>eyJoZGlkIjoiMGI3NWFlZjkzYTk3YTAxNGE4YjI4NzliMDZmMGU1MzQiLCJ1c2VySWQiOiI2OTI5MjIwNzUifQ==</vt:lpwstr>
  </property>
</Properties>
</file>