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C1BC0">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黑体" w:eastAsia="方正小标宋简体" w:cs="Times New Roman"/>
          <w:kern w:val="0"/>
          <w:sz w:val="44"/>
          <w:szCs w:val="44"/>
          <w:highlight w:val="none"/>
          <w:lang w:val="en-US" w:eastAsia="zh-CN" w:bidi="ar-SA"/>
        </w:rPr>
      </w:pPr>
      <w:bookmarkStart w:id="0" w:name="_Toc24731"/>
      <w:bookmarkStart w:id="1" w:name="_Toc9429"/>
      <w:bookmarkStart w:id="2" w:name="_Toc2972"/>
      <w:bookmarkStart w:id="3" w:name="_Toc20667"/>
      <w:bookmarkStart w:id="4" w:name="_Toc31125"/>
      <w:bookmarkStart w:id="5" w:name="_Toc28414"/>
      <w:bookmarkStart w:id="6" w:name="_Toc30841"/>
      <w:bookmarkStart w:id="7" w:name="_Toc30989"/>
      <w:bookmarkStart w:id="8" w:name="_Toc30293"/>
      <w:bookmarkStart w:id="9" w:name="_Toc27901"/>
    </w:p>
    <w:p w14:paraId="6279D2E2">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黑体" w:eastAsia="方正小标宋简体" w:cs="Times New Roman"/>
          <w:kern w:val="0"/>
          <w:sz w:val="44"/>
          <w:szCs w:val="44"/>
          <w:highlight w:val="none"/>
          <w:lang w:val="en-US" w:eastAsia="zh-CN" w:bidi="ar-SA"/>
        </w:rPr>
      </w:pPr>
    </w:p>
    <w:p w14:paraId="6B6D5725">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黑体" w:eastAsia="方正小标宋简体" w:cs="Times New Roman"/>
          <w:kern w:val="0"/>
          <w:sz w:val="44"/>
          <w:szCs w:val="44"/>
          <w:highlight w:val="none"/>
          <w:lang w:val="en-US" w:eastAsia="zh-CN" w:bidi="ar-SA"/>
        </w:rPr>
      </w:pPr>
    </w:p>
    <w:p w14:paraId="2994A0E5">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黑体" w:eastAsia="方正小标宋简体" w:cs="Times New Roman"/>
          <w:kern w:val="0"/>
          <w:sz w:val="44"/>
          <w:szCs w:val="44"/>
          <w:highlight w:val="none"/>
          <w:lang w:val="en-US" w:eastAsia="zh-CN" w:bidi="ar-SA"/>
        </w:rPr>
      </w:pPr>
    </w:p>
    <w:p w14:paraId="502DE3BF">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黑体" w:eastAsia="方正小标宋简体" w:cs="Times New Roman"/>
          <w:kern w:val="0"/>
          <w:sz w:val="44"/>
          <w:szCs w:val="44"/>
          <w:highlight w:val="none"/>
          <w:lang w:val="en-US" w:eastAsia="zh-CN" w:bidi="ar-SA"/>
        </w:rPr>
      </w:pPr>
    </w:p>
    <w:p w14:paraId="267C767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黑体" w:eastAsia="方正小标宋简体" w:cs="Times New Roman"/>
          <w:kern w:val="0"/>
          <w:sz w:val="44"/>
          <w:szCs w:val="44"/>
          <w:highlight w:val="none"/>
          <w:lang w:val="en-US" w:eastAsia="zh-CN" w:bidi="ar-SA"/>
        </w:rPr>
      </w:pPr>
      <w:bookmarkStart w:id="276" w:name="_GoBack"/>
      <w:r>
        <w:rPr>
          <w:rFonts w:hint="eastAsia" w:ascii="方正小标宋简体" w:hAnsi="黑体" w:eastAsia="方正小标宋简体" w:cs="Times New Roman"/>
          <w:kern w:val="0"/>
          <w:sz w:val="44"/>
          <w:szCs w:val="44"/>
          <w:highlight w:val="none"/>
          <w:lang w:val="en-US" w:eastAsia="zh-CN" w:bidi="ar-SA"/>
        </w:rPr>
        <w:t>泥尔河乡国土空间总体规划</w:t>
      </w:r>
    </w:p>
    <w:bookmarkEnd w:id="276"/>
    <w:p w14:paraId="1B8DD99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黑体" w:eastAsia="方正小标宋简体" w:cs="Times New Roman"/>
          <w:kern w:val="0"/>
          <w:sz w:val="44"/>
          <w:szCs w:val="44"/>
          <w:highlight w:val="none"/>
          <w:lang w:val="en-US" w:eastAsia="zh-CN" w:bidi="ar-SA"/>
        </w:rPr>
      </w:pPr>
      <w:r>
        <w:rPr>
          <w:rFonts w:hint="eastAsia" w:ascii="方正小标宋简体" w:hAnsi="黑体" w:eastAsia="方正小标宋简体" w:cs="Times New Roman"/>
          <w:kern w:val="0"/>
          <w:sz w:val="44"/>
          <w:szCs w:val="44"/>
          <w:highlight w:val="none"/>
          <w:lang w:val="en-US" w:eastAsia="zh-CN" w:bidi="ar-SA"/>
        </w:rPr>
        <w:t>（</w:t>
      </w:r>
      <w:r>
        <w:rPr>
          <w:rFonts w:hint="default" w:ascii="Times New Roman" w:hAnsi="Times New Roman" w:eastAsia="方正小标宋简体" w:cs="Times New Roman"/>
          <w:kern w:val="0"/>
          <w:sz w:val="44"/>
          <w:szCs w:val="44"/>
          <w:highlight w:val="none"/>
          <w:lang w:val="en-US" w:eastAsia="zh-CN" w:bidi="ar-SA"/>
        </w:rPr>
        <w:t>2021</w:t>
      </w:r>
      <w:r>
        <w:rPr>
          <w:rFonts w:hint="eastAsia" w:ascii="Times New Roman" w:hAnsi="Times New Roman" w:eastAsia="方正小标宋简体" w:cs="Times New Roman"/>
          <w:kern w:val="0"/>
          <w:sz w:val="44"/>
          <w:szCs w:val="44"/>
          <w:highlight w:val="none"/>
          <w:lang w:val="en-US" w:eastAsia="zh-CN" w:bidi="ar-SA"/>
        </w:rPr>
        <w:t>—</w:t>
      </w:r>
      <w:r>
        <w:rPr>
          <w:rFonts w:hint="default" w:ascii="Times New Roman" w:hAnsi="Times New Roman" w:eastAsia="方正小标宋简体" w:cs="Times New Roman"/>
          <w:kern w:val="0"/>
          <w:sz w:val="44"/>
          <w:szCs w:val="44"/>
          <w:highlight w:val="none"/>
          <w:lang w:val="en-US" w:eastAsia="zh-CN" w:bidi="ar-SA"/>
        </w:rPr>
        <w:t>2035</w:t>
      </w:r>
      <w:r>
        <w:rPr>
          <w:rFonts w:hint="eastAsia" w:ascii="方正小标宋简体" w:hAnsi="黑体" w:eastAsia="方正小标宋简体" w:cs="Times New Roman"/>
          <w:kern w:val="0"/>
          <w:sz w:val="44"/>
          <w:szCs w:val="44"/>
          <w:highlight w:val="none"/>
          <w:lang w:val="en-US" w:eastAsia="zh-CN" w:bidi="ar-SA"/>
        </w:rPr>
        <w:t>年）</w:t>
      </w:r>
      <w:bookmarkEnd w:id="0"/>
      <w:bookmarkEnd w:id="1"/>
      <w:bookmarkEnd w:id="2"/>
      <w:bookmarkEnd w:id="3"/>
      <w:bookmarkEnd w:id="4"/>
      <w:bookmarkEnd w:id="5"/>
      <w:bookmarkEnd w:id="6"/>
      <w:bookmarkEnd w:id="7"/>
      <w:bookmarkEnd w:id="8"/>
      <w:bookmarkEnd w:id="9"/>
    </w:p>
    <w:p w14:paraId="2A99EB3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outlineLvl w:val="0"/>
        <w:rPr>
          <w:rFonts w:ascii="微软雅黑" w:hAnsi="微软雅黑" w:eastAsia="微软雅黑" w:cs="微软雅黑"/>
          <w:b/>
          <w:bCs/>
          <w:snapToGrid w:val="0"/>
          <w:color w:val="000000"/>
          <w:spacing w:val="-1"/>
          <w:kern w:val="0"/>
          <w:sz w:val="43"/>
          <w:szCs w:val="43"/>
          <w:highlight w:val="none"/>
        </w:rPr>
      </w:pPr>
    </w:p>
    <w:p w14:paraId="462C6582">
      <w:pPr>
        <w:pageBreakBefore w:val="0"/>
        <w:widowControl/>
        <w:wordWrap/>
        <w:overflowPunct/>
        <w:topLinePunct w:val="0"/>
        <w:bidi w:val="0"/>
        <w:spacing w:line="360" w:lineRule="auto"/>
        <w:jc w:val="center"/>
        <w:rPr>
          <w:rFonts w:ascii="微软雅黑" w:hAnsi="微软雅黑" w:eastAsia="微软雅黑" w:cs="微软雅黑"/>
          <w:b/>
          <w:bCs/>
          <w:snapToGrid w:val="0"/>
          <w:color w:val="000000"/>
          <w:spacing w:val="-1"/>
          <w:kern w:val="0"/>
          <w:sz w:val="43"/>
          <w:szCs w:val="43"/>
          <w:highlight w:val="none"/>
        </w:rPr>
      </w:pPr>
    </w:p>
    <w:p w14:paraId="1B65405C">
      <w:pPr>
        <w:pageBreakBefore w:val="0"/>
        <w:widowControl/>
        <w:wordWrap/>
        <w:overflowPunct/>
        <w:topLinePunct w:val="0"/>
        <w:bidi w:val="0"/>
        <w:spacing w:line="360" w:lineRule="auto"/>
        <w:jc w:val="center"/>
        <w:rPr>
          <w:rFonts w:ascii="微软雅黑" w:hAnsi="微软雅黑" w:eastAsia="微软雅黑" w:cs="微软雅黑"/>
          <w:b/>
          <w:bCs/>
          <w:snapToGrid w:val="0"/>
          <w:color w:val="000000"/>
          <w:spacing w:val="-1"/>
          <w:kern w:val="0"/>
          <w:sz w:val="43"/>
          <w:szCs w:val="43"/>
          <w:highlight w:val="none"/>
        </w:rPr>
      </w:pPr>
    </w:p>
    <w:p w14:paraId="05BAA100">
      <w:pPr>
        <w:pageBreakBefore w:val="0"/>
        <w:widowControl/>
        <w:wordWrap/>
        <w:overflowPunct/>
        <w:topLinePunct w:val="0"/>
        <w:bidi w:val="0"/>
        <w:spacing w:line="360" w:lineRule="auto"/>
        <w:jc w:val="center"/>
        <w:rPr>
          <w:rFonts w:ascii="微软雅黑" w:hAnsi="微软雅黑" w:eastAsia="微软雅黑" w:cs="微软雅黑"/>
          <w:b/>
          <w:bCs/>
          <w:snapToGrid w:val="0"/>
          <w:color w:val="000000"/>
          <w:spacing w:val="-1"/>
          <w:kern w:val="0"/>
          <w:sz w:val="43"/>
          <w:szCs w:val="43"/>
          <w:highlight w:val="none"/>
        </w:rPr>
      </w:pPr>
    </w:p>
    <w:p w14:paraId="65AE9348">
      <w:pPr>
        <w:pageBreakBefore w:val="0"/>
        <w:widowControl/>
        <w:wordWrap/>
        <w:overflowPunct/>
        <w:topLinePunct w:val="0"/>
        <w:bidi w:val="0"/>
        <w:spacing w:line="360" w:lineRule="auto"/>
        <w:jc w:val="center"/>
        <w:rPr>
          <w:rFonts w:ascii="微软雅黑" w:hAnsi="微软雅黑" w:eastAsia="微软雅黑" w:cs="微软雅黑"/>
          <w:b/>
          <w:bCs/>
          <w:snapToGrid w:val="0"/>
          <w:color w:val="000000"/>
          <w:spacing w:val="-1"/>
          <w:kern w:val="0"/>
          <w:sz w:val="43"/>
          <w:szCs w:val="43"/>
          <w:highlight w:val="none"/>
        </w:rPr>
      </w:pPr>
    </w:p>
    <w:p w14:paraId="0DA44662">
      <w:pPr>
        <w:pageBreakBefore w:val="0"/>
        <w:widowControl/>
        <w:wordWrap/>
        <w:overflowPunct/>
        <w:topLinePunct w:val="0"/>
        <w:bidi w:val="0"/>
        <w:spacing w:line="360" w:lineRule="auto"/>
        <w:jc w:val="center"/>
        <w:rPr>
          <w:rFonts w:ascii="微软雅黑" w:hAnsi="微软雅黑" w:eastAsia="微软雅黑" w:cs="微软雅黑"/>
          <w:b/>
          <w:bCs/>
          <w:snapToGrid w:val="0"/>
          <w:color w:val="000000"/>
          <w:spacing w:val="-1"/>
          <w:kern w:val="0"/>
          <w:sz w:val="43"/>
          <w:szCs w:val="43"/>
          <w:highlight w:val="none"/>
        </w:rPr>
      </w:pPr>
    </w:p>
    <w:p w14:paraId="5794B65D">
      <w:pPr>
        <w:pageBreakBefore w:val="0"/>
        <w:widowControl/>
        <w:wordWrap/>
        <w:overflowPunct/>
        <w:topLinePunct w:val="0"/>
        <w:bidi w:val="0"/>
        <w:spacing w:line="360" w:lineRule="auto"/>
        <w:ind w:left="0" w:leftChars="0" w:firstLine="0" w:firstLineChars="0"/>
        <w:jc w:val="both"/>
        <w:rPr>
          <w:rFonts w:ascii="微软雅黑" w:hAnsi="微软雅黑" w:eastAsia="微软雅黑" w:cs="微软雅黑"/>
          <w:b/>
          <w:bCs/>
          <w:snapToGrid w:val="0"/>
          <w:color w:val="000000"/>
          <w:spacing w:val="-1"/>
          <w:kern w:val="0"/>
          <w:sz w:val="43"/>
          <w:szCs w:val="43"/>
          <w:highlight w:val="none"/>
        </w:rPr>
      </w:pPr>
    </w:p>
    <w:p w14:paraId="44C5CF4E">
      <w:pPr>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auto"/>
        <w:rPr>
          <w:rFonts w:hint="eastAsia" w:ascii="Times New Roman" w:hAnsi="Times New Roman" w:eastAsia="方正小标宋简体" w:cs="Times New Roman"/>
          <w:sz w:val="32"/>
          <w:szCs w:val="32"/>
          <w:highlight w:val="none"/>
          <w:lang w:val="en-US" w:eastAsia="zh-CN"/>
        </w:rPr>
      </w:pPr>
      <w:r>
        <w:rPr>
          <w:rFonts w:hint="eastAsia" w:ascii="Times New Roman" w:hAnsi="Times New Roman" w:eastAsia="方正小标宋简体" w:cs="Times New Roman"/>
          <w:sz w:val="32"/>
          <w:szCs w:val="32"/>
          <w:highlight w:val="none"/>
          <w:lang w:val="en-US" w:eastAsia="zh-CN"/>
        </w:rPr>
        <w:t>泥尔河乡人民政府</w:t>
      </w:r>
    </w:p>
    <w:p w14:paraId="17C0A5A0">
      <w:pPr>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kern w:val="0"/>
          <w:szCs w:val="32"/>
          <w:highlight w:val="none"/>
        </w:rPr>
      </w:pPr>
      <w:r>
        <w:rPr>
          <w:rFonts w:hint="default" w:ascii="Times New Roman" w:hAnsi="Times New Roman" w:eastAsia="方正小标宋简体" w:cs="Times New Roman"/>
          <w:kern w:val="0"/>
          <w:szCs w:val="32"/>
          <w:highlight w:val="none"/>
          <w:lang w:val="en-US" w:eastAsia="zh-CN"/>
        </w:rPr>
        <w:t>2025</w:t>
      </w:r>
      <w:r>
        <w:rPr>
          <w:rFonts w:hint="default" w:ascii="Times New Roman" w:hAnsi="Times New Roman" w:eastAsia="方正小标宋简体" w:cs="Times New Roman"/>
          <w:kern w:val="0"/>
          <w:szCs w:val="32"/>
          <w:highlight w:val="none"/>
        </w:rPr>
        <w:t>年</w:t>
      </w:r>
      <w:r>
        <w:rPr>
          <w:rFonts w:hint="default" w:ascii="Times New Roman" w:hAnsi="Times New Roman" w:eastAsia="方正小标宋简体" w:cs="Times New Roman"/>
          <w:kern w:val="0"/>
          <w:szCs w:val="32"/>
          <w:highlight w:val="none"/>
          <w:lang w:val="en-US" w:eastAsia="zh-CN"/>
        </w:rPr>
        <w:t>3</w:t>
      </w:r>
      <w:r>
        <w:rPr>
          <w:rFonts w:hint="default" w:ascii="Times New Roman" w:hAnsi="Times New Roman" w:eastAsia="方正小标宋简体" w:cs="Times New Roman"/>
          <w:kern w:val="0"/>
          <w:szCs w:val="32"/>
          <w:highlight w:val="none"/>
        </w:rPr>
        <w:t>月</w:t>
      </w:r>
    </w:p>
    <w:p w14:paraId="64ADB80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黑体" w:eastAsia="方正小标宋简体" w:cs="Times New Roman"/>
          <w:kern w:val="0"/>
          <w:sz w:val="44"/>
          <w:szCs w:val="44"/>
          <w:highlight w:val="none"/>
          <w:lang w:val="en-US" w:eastAsia="zh-CN" w:bidi="ar-SA"/>
        </w:rPr>
      </w:pPr>
    </w:p>
    <w:p w14:paraId="5ED6D82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黑体" w:eastAsia="方正小标宋简体" w:cs="Times New Roman"/>
          <w:kern w:val="0"/>
          <w:sz w:val="44"/>
          <w:szCs w:val="44"/>
          <w:highlight w:val="none"/>
          <w:lang w:val="en-US" w:eastAsia="zh-CN" w:bidi="ar-SA"/>
        </w:rPr>
      </w:pPr>
    </w:p>
    <w:p w14:paraId="6A6A7B06">
      <w:pPr>
        <w:rPr>
          <w:rFonts w:ascii="宋体" w:hAnsi="宋体" w:eastAsia="宋体" w:cstheme="minorBidi"/>
          <w:kern w:val="2"/>
          <w:sz w:val="21"/>
          <w:szCs w:val="24"/>
          <w:highlight w:val="none"/>
          <w:lang w:val="en-US" w:eastAsia="zh-CN" w:bidi="ar-SA"/>
        </w:rPr>
      </w:pPr>
      <w:r>
        <w:rPr>
          <w:rFonts w:ascii="宋体" w:hAnsi="宋体" w:eastAsia="宋体" w:cstheme="minorBidi"/>
          <w:kern w:val="2"/>
          <w:sz w:val="21"/>
          <w:szCs w:val="24"/>
          <w:highlight w:val="none"/>
          <w:lang w:val="en-US" w:eastAsia="zh-CN" w:bidi="ar-SA"/>
        </w:rPr>
        <w:br w:type="page"/>
      </w:r>
    </w:p>
    <w:p w14:paraId="2799CC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ascii="方正小标宋_GBK" w:hAnsi="方正小标宋_GBK" w:eastAsia="方正小标宋_GBK" w:cs="方正小标宋_GBK"/>
          <w:b w:val="0"/>
          <w:bCs w:val="0"/>
          <w:color w:val="auto"/>
          <w:kern w:val="44"/>
          <w:sz w:val="36"/>
          <w:szCs w:val="36"/>
          <w:lang w:val="en-US" w:eastAsia="zh-CN" w:bidi="ar"/>
        </w:rPr>
        <w:t>目   录</w:t>
      </w:r>
      <w:r>
        <w:rPr>
          <w:highlight w:val="none"/>
        </w:rPr>
        <w:fldChar w:fldCharType="begin"/>
      </w:r>
      <w:r>
        <w:rPr>
          <w:highlight w:val="none"/>
        </w:rPr>
        <w:instrText xml:space="preserve">TOC \o "1-3" \h \u </w:instrText>
      </w:r>
      <w:r>
        <w:rPr>
          <w:highlight w:val="none"/>
        </w:rPr>
        <w:fldChar w:fldCharType="separate"/>
      </w:r>
    </w:p>
    <w:p w14:paraId="0676AE55">
      <w:pPr>
        <w:pStyle w:val="13"/>
        <w:tabs>
          <w:tab w:val="right" w:leader="dot" w:pos="8306"/>
        </w:tabs>
        <w:ind w:left="0" w:leftChars="0" w:firstLine="0" w:firstLineChars="0"/>
        <w:rPr>
          <w:rFonts w:hint="eastAsia" w:eastAsia="仿宋"/>
          <w:b/>
          <w:bCs/>
          <w:highlight w:val="none"/>
          <w:lang w:val="en-US" w:eastAsia="zh-CN"/>
        </w:rPr>
      </w:pPr>
      <w:r>
        <w:rPr>
          <w:highlight w:val="none"/>
        </w:rPr>
        <w:fldChar w:fldCharType="begin"/>
      </w:r>
      <w:r>
        <w:rPr>
          <w:highlight w:val="none"/>
        </w:rPr>
        <w:instrText xml:space="preserve"> HYPERLINK \l _Toc12947 </w:instrText>
      </w:r>
      <w:r>
        <w:rPr>
          <w:highlight w:val="none"/>
        </w:rPr>
        <w:fldChar w:fldCharType="separate"/>
      </w:r>
      <w:r>
        <w:rPr>
          <w:rFonts w:hint="eastAsia" w:ascii="方正小标宋_GBK" w:hAnsi="方正小标宋_GBK" w:eastAsia="方正小标宋_GBK" w:cs="方正小标宋_GBK"/>
          <w:bCs w:val="0"/>
          <w:snapToGrid w:val="0"/>
          <w:spacing w:val="1"/>
          <w:kern w:val="0"/>
          <w:szCs w:val="36"/>
          <w:highlight w:val="none"/>
          <w:lang w:val="en-US" w:eastAsia="zh-CN"/>
        </w:rPr>
        <w:t>第一章 总则</w:t>
      </w:r>
      <w:r>
        <w:rPr>
          <w:b w:val="0"/>
          <w:bCs w:val="0"/>
          <w:highlight w:val="none"/>
        </w:rPr>
        <w:tab/>
      </w:r>
      <w:r>
        <w:rPr>
          <w:highlight w:val="none"/>
        </w:rPr>
        <w:fldChar w:fldCharType="end"/>
      </w:r>
      <w:r>
        <w:rPr>
          <w:rFonts w:hint="eastAsia" w:ascii="方正小标宋_GBK" w:hAnsi="方正小标宋_GBK" w:eastAsia="方正小标宋_GBK" w:cs="方正小标宋_GBK"/>
          <w:b w:val="0"/>
          <w:bCs w:val="0"/>
          <w:highlight w:val="none"/>
          <w:lang w:val="en-US" w:eastAsia="zh-CN"/>
        </w:rPr>
        <w:t>1</w:t>
      </w:r>
    </w:p>
    <w:p w14:paraId="0A57EEE4">
      <w:pPr>
        <w:pStyle w:val="13"/>
        <w:tabs>
          <w:tab w:val="right" w:leader="dot" w:pos="8306"/>
        </w:tabs>
        <w:ind w:left="0" w:leftChars="0" w:firstLine="0" w:firstLineChars="0"/>
        <w:rPr>
          <w:highlight w:val="none"/>
        </w:rPr>
      </w:pPr>
      <w:r>
        <w:rPr>
          <w:highlight w:val="none"/>
        </w:rPr>
        <w:fldChar w:fldCharType="begin"/>
      </w:r>
      <w:r>
        <w:rPr>
          <w:highlight w:val="none"/>
        </w:rPr>
        <w:instrText xml:space="preserve"> HYPERLINK \l _Toc15923 </w:instrText>
      </w:r>
      <w:r>
        <w:rPr>
          <w:highlight w:val="none"/>
        </w:rPr>
        <w:fldChar w:fldCharType="separate"/>
      </w:r>
      <w:r>
        <w:rPr>
          <w:rStyle w:val="20"/>
          <w:rFonts w:hint="eastAsia" w:ascii="Times New Roman" w:hAnsi="Times New Roman" w:eastAsia="方正小标宋简体" w:cs="Times New Roman"/>
          <w:szCs w:val="24"/>
          <w:highlight w:val="none"/>
          <w:lang w:val="en-US" w:eastAsia="zh-CN"/>
        </w:rPr>
        <w:t xml:space="preserve">第二章 </w:t>
      </w:r>
      <w:r>
        <w:rPr>
          <w:rFonts w:hint="eastAsia" w:ascii="方正小标宋_GBK" w:hAnsi="方正小标宋_GBK" w:eastAsia="方正小标宋_GBK" w:cs="方正小标宋_GBK"/>
          <w:bCs w:val="0"/>
          <w:snapToGrid w:val="0"/>
          <w:spacing w:val="1"/>
          <w:kern w:val="0"/>
          <w:szCs w:val="36"/>
          <w:highlight w:val="none"/>
          <w:lang w:val="en-US" w:eastAsia="zh-CN"/>
        </w:rPr>
        <w:t>现状基础与风险识别</w:t>
      </w:r>
      <w:r>
        <w:rPr>
          <w:rFonts w:hint="eastAsia" w:ascii="方正小标宋_GBK" w:hAnsi="方正小标宋_GBK" w:eastAsia="方正小标宋_GBK" w:cs="方正小标宋_GBK"/>
          <w:b w:val="0"/>
          <w:bCs w:val="0"/>
          <w:highlight w:val="none"/>
        </w:rPr>
        <w:tab/>
      </w:r>
      <w:r>
        <w:rPr>
          <w:rFonts w:hint="eastAsia" w:ascii="Calibri (正文)" w:hAnsi="Calibri (正文)" w:eastAsia="黑体" w:cs="Calibri (正文)"/>
          <w:b w:val="0"/>
          <w:bCs w:val="0"/>
          <w:highlight w:val="none"/>
          <w:lang w:val="en-US" w:eastAsia="zh-CN"/>
        </w:rPr>
        <w:t>4</w:t>
      </w:r>
      <w:r>
        <w:rPr>
          <w:highlight w:val="none"/>
        </w:rPr>
        <w:fldChar w:fldCharType="end"/>
      </w:r>
    </w:p>
    <w:p w14:paraId="0964EC3F">
      <w:pPr>
        <w:pStyle w:val="14"/>
        <w:tabs>
          <w:tab w:val="right" w:leader="dot" w:pos="8306"/>
        </w:tabs>
        <w:ind w:left="0" w:leftChars="0" w:firstLine="640" w:firstLineChars="200"/>
        <w:rPr>
          <w:highlight w:val="none"/>
        </w:rPr>
      </w:pPr>
      <w:r>
        <w:rPr>
          <w:highlight w:val="none"/>
        </w:rPr>
        <w:fldChar w:fldCharType="begin"/>
      </w:r>
      <w:r>
        <w:rPr>
          <w:highlight w:val="none"/>
        </w:rPr>
        <w:instrText xml:space="preserve"> HYPERLINK \l _Toc10713 </w:instrText>
      </w:r>
      <w:r>
        <w:rPr>
          <w:highlight w:val="none"/>
        </w:rPr>
        <w:fldChar w:fldCharType="separate"/>
      </w:r>
      <w:r>
        <w:rPr>
          <w:rFonts w:hint="eastAsia" w:ascii="黑体" w:hAnsi="黑体" w:eastAsia="黑体" w:cs="黑体"/>
          <w:bCs/>
          <w:kern w:val="2"/>
          <w:szCs w:val="32"/>
          <w:highlight w:val="none"/>
          <w:lang w:val="en-US" w:eastAsia="zh-CN" w:bidi="ar-SA"/>
        </w:rPr>
        <w:t>第一节 现状特征与主要问题</w:t>
      </w:r>
      <w:r>
        <w:rPr>
          <w:highlight w:val="none"/>
        </w:rPr>
        <w:tab/>
      </w:r>
      <w:r>
        <w:rPr>
          <w:rFonts w:hint="eastAsia"/>
          <w:highlight w:val="none"/>
          <w:lang w:val="en-US" w:eastAsia="zh-CN"/>
        </w:rPr>
        <w:t>4</w:t>
      </w:r>
      <w:r>
        <w:rPr>
          <w:highlight w:val="none"/>
        </w:rPr>
        <w:fldChar w:fldCharType="end"/>
      </w:r>
    </w:p>
    <w:p w14:paraId="60FB85C2">
      <w:pPr>
        <w:pStyle w:val="14"/>
        <w:tabs>
          <w:tab w:val="right" w:leader="dot" w:pos="8306"/>
        </w:tabs>
        <w:ind w:left="0" w:leftChars="0" w:firstLine="640" w:firstLineChars="200"/>
        <w:rPr>
          <w:rFonts w:hint="default" w:eastAsia="仿宋"/>
          <w:highlight w:val="none"/>
          <w:lang w:val="en-US" w:eastAsia="zh-CN"/>
        </w:rPr>
      </w:pPr>
      <w:r>
        <w:rPr>
          <w:highlight w:val="none"/>
        </w:rPr>
        <w:fldChar w:fldCharType="begin"/>
      </w:r>
      <w:r>
        <w:rPr>
          <w:highlight w:val="none"/>
        </w:rPr>
        <w:instrText xml:space="preserve"> HYPERLINK \l _Toc13502 </w:instrText>
      </w:r>
      <w:r>
        <w:rPr>
          <w:highlight w:val="none"/>
        </w:rPr>
        <w:fldChar w:fldCharType="separate"/>
      </w:r>
      <w:r>
        <w:rPr>
          <w:rFonts w:hint="eastAsia" w:ascii="黑体" w:hAnsi="黑体" w:eastAsia="黑体" w:cs="黑体"/>
          <w:bCs/>
          <w:kern w:val="2"/>
          <w:szCs w:val="32"/>
          <w:highlight w:val="none"/>
          <w:lang w:val="en-US" w:eastAsia="zh-CN" w:bidi="ar-SA"/>
        </w:rPr>
        <w:t>第二节 机遇与挑战</w:t>
      </w:r>
      <w:r>
        <w:rPr>
          <w:highlight w:val="none"/>
        </w:rPr>
        <w:tab/>
      </w:r>
      <w:r>
        <w:rPr>
          <w:rFonts w:hint="eastAsia"/>
          <w:highlight w:val="none"/>
          <w:lang w:val="en-US" w:eastAsia="zh-CN"/>
        </w:rPr>
        <w:t>5</w:t>
      </w:r>
      <w:r>
        <w:rPr>
          <w:highlight w:val="none"/>
        </w:rPr>
        <w:fldChar w:fldCharType="end"/>
      </w:r>
    </w:p>
    <w:p w14:paraId="2199F832">
      <w:pPr>
        <w:pStyle w:val="13"/>
        <w:tabs>
          <w:tab w:val="right" w:leader="dot" w:pos="8306"/>
        </w:tabs>
        <w:ind w:left="0" w:leftChars="0" w:firstLine="0" w:firstLineChars="0"/>
        <w:rPr>
          <w:rFonts w:hint="eastAsia" w:eastAsia="仿宋"/>
          <w:highlight w:val="none"/>
          <w:lang w:val="en-US" w:eastAsia="zh-CN"/>
        </w:rPr>
      </w:pPr>
      <w:r>
        <w:rPr>
          <w:highlight w:val="none"/>
        </w:rPr>
        <w:fldChar w:fldCharType="begin"/>
      </w:r>
      <w:r>
        <w:rPr>
          <w:highlight w:val="none"/>
        </w:rPr>
        <w:instrText xml:space="preserve"> HYPERLINK \l _Toc27103 </w:instrText>
      </w:r>
      <w:r>
        <w:rPr>
          <w:highlight w:val="none"/>
        </w:rPr>
        <w:fldChar w:fldCharType="separate"/>
      </w:r>
      <w:r>
        <w:rPr>
          <w:rFonts w:hint="eastAsia" w:ascii="方正小标宋_GBK" w:hAnsi="方正小标宋_GBK" w:eastAsia="方正小标宋_GBK" w:cs="方正小标宋_GBK"/>
          <w:bCs w:val="0"/>
          <w:snapToGrid w:val="0"/>
          <w:spacing w:val="1"/>
          <w:kern w:val="0"/>
          <w:szCs w:val="36"/>
          <w:highlight w:val="none"/>
        </w:rPr>
        <w:t>第三章 发展目标与空间战略</w:t>
      </w:r>
      <w:r>
        <w:rPr>
          <w:b w:val="0"/>
          <w:bCs w:val="0"/>
          <w:highlight w:val="none"/>
        </w:rPr>
        <w:tab/>
      </w:r>
      <w:r>
        <w:rPr>
          <w:highlight w:val="none"/>
        </w:rPr>
        <w:fldChar w:fldCharType="end"/>
      </w:r>
      <w:r>
        <w:rPr>
          <w:rFonts w:hint="eastAsia"/>
          <w:highlight w:val="none"/>
          <w:lang w:val="en-US" w:eastAsia="zh-CN"/>
        </w:rPr>
        <w:t>8</w:t>
      </w:r>
    </w:p>
    <w:p w14:paraId="3868557A">
      <w:pPr>
        <w:pStyle w:val="14"/>
        <w:tabs>
          <w:tab w:val="right" w:leader="dot" w:pos="8306"/>
        </w:tabs>
        <w:ind w:left="0" w:leftChars="0" w:firstLine="640" w:firstLineChars="200"/>
        <w:rPr>
          <w:rFonts w:hint="default" w:eastAsia="仿宋"/>
          <w:highlight w:val="none"/>
          <w:lang w:val="en-US" w:eastAsia="zh-CN"/>
        </w:rPr>
      </w:pPr>
      <w:r>
        <w:rPr>
          <w:highlight w:val="none"/>
        </w:rPr>
        <w:fldChar w:fldCharType="begin"/>
      </w:r>
      <w:r>
        <w:rPr>
          <w:highlight w:val="none"/>
        </w:rPr>
        <w:instrText xml:space="preserve"> HYPERLINK \l _Toc5465 </w:instrText>
      </w:r>
      <w:r>
        <w:rPr>
          <w:highlight w:val="none"/>
        </w:rPr>
        <w:fldChar w:fldCharType="separate"/>
      </w:r>
      <w:r>
        <w:rPr>
          <w:rFonts w:hint="eastAsia" w:ascii="黑体" w:hAnsi="黑体" w:eastAsia="黑体" w:cs="黑体"/>
          <w:bCs/>
          <w:spacing w:val="-11"/>
          <w:szCs w:val="28"/>
          <w:highlight w:val="none"/>
          <w:lang w:val="en-US" w:eastAsia="zh-CN"/>
        </w:rPr>
        <w:t>第一节 规划定位与目标</w:t>
      </w:r>
      <w:r>
        <w:rPr>
          <w:highlight w:val="none"/>
        </w:rPr>
        <w:tab/>
      </w:r>
      <w:r>
        <w:rPr>
          <w:highlight w:val="none"/>
        </w:rPr>
        <w:fldChar w:fldCharType="end"/>
      </w:r>
      <w:r>
        <w:rPr>
          <w:rFonts w:hint="eastAsia"/>
          <w:highlight w:val="none"/>
          <w:lang w:val="en-US" w:eastAsia="zh-CN"/>
        </w:rPr>
        <w:t>8</w:t>
      </w:r>
    </w:p>
    <w:p w14:paraId="3AE01FD9">
      <w:pPr>
        <w:pStyle w:val="14"/>
        <w:tabs>
          <w:tab w:val="right" w:leader="dot" w:pos="8306"/>
        </w:tabs>
        <w:ind w:left="0" w:leftChars="0" w:firstLine="640" w:firstLineChars="200"/>
        <w:rPr>
          <w:rFonts w:hint="default" w:eastAsia="仿宋"/>
          <w:highlight w:val="none"/>
          <w:lang w:val="en-US" w:eastAsia="zh-CN"/>
        </w:rPr>
      </w:pPr>
      <w:r>
        <w:rPr>
          <w:highlight w:val="none"/>
        </w:rPr>
        <w:fldChar w:fldCharType="begin"/>
      </w:r>
      <w:r>
        <w:rPr>
          <w:highlight w:val="none"/>
        </w:rPr>
        <w:instrText xml:space="preserve"> HYPERLINK \l _Toc9772 </w:instrText>
      </w:r>
      <w:r>
        <w:rPr>
          <w:highlight w:val="none"/>
        </w:rPr>
        <w:fldChar w:fldCharType="separate"/>
      </w:r>
      <w:r>
        <w:rPr>
          <w:rFonts w:hint="eastAsia" w:ascii="黑体" w:hAnsi="黑体" w:eastAsia="黑体" w:cs="黑体"/>
          <w:bCs/>
          <w:spacing w:val="-11"/>
          <w:szCs w:val="28"/>
          <w:highlight w:val="none"/>
          <w:lang w:val="en-US" w:eastAsia="zh-CN"/>
        </w:rPr>
        <w:t>第二节 空间发展策略</w:t>
      </w:r>
      <w:r>
        <w:rPr>
          <w:highlight w:val="none"/>
        </w:rPr>
        <w:tab/>
      </w:r>
      <w:r>
        <w:rPr>
          <w:highlight w:val="none"/>
        </w:rPr>
        <w:fldChar w:fldCharType="end"/>
      </w:r>
      <w:r>
        <w:rPr>
          <w:rFonts w:hint="eastAsia"/>
          <w:highlight w:val="none"/>
          <w:lang w:val="en-US" w:eastAsia="zh-CN"/>
        </w:rPr>
        <w:t>10</w:t>
      </w:r>
    </w:p>
    <w:p w14:paraId="24C5783B">
      <w:pPr>
        <w:pStyle w:val="14"/>
        <w:tabs>
          <w:tab w:val="right" w:leader="dot" w:pos="8306"/>
        </w:tabs>
        <w:ind w:left="0" w:leftChars="0" w:firstLine="640" w:firstLineChars="200"/>
        <w:rPr>
          <w:rFonts w:hint="eastAsia" w:eastAsia="仿宋"/>
          <w:highlight w:val="none"/>
          <w:lang w:val="en-US" w:eastAsia="zh-CN"/>
        </w:rPr>
      </w:pPr>
      <w:r>
        <w:rPr>
          <w:highlight w:val="none"/>
        </w:rPr>
        <w:fldChar w:fldCharType="begin"/>
      </w:r>
      <w:r>
        <w:rPr>
          <w:highlight w:val="none"/>
        </w:rPr>
        <w:instrText xml:space="preserve"> HYPERLINK \l _Toc25565 </w:instrText>
      </w:r>
      <w:r>
        <w:rPr>
          <w:highlight w:val="none"/>
        </w:rPr>
        <w:fldChar w:fldCharType="separate"/>
      </w:r>
      <w:r>
        <w:rPr>
          <w:rFonts w:hint="eastAsia" w:ascii="黑体" w:hAnsi="黑体" w:eastAsia="黑体" w:cs="黑体"/>
          <w:bCs/>
          <w:spacing w:val="-11"/>
          <w:szCs w:val="28"/>
          <w:highlight w:val="none"/>
          <w:lang w:val="en-US" w:eastAsia="zh-CN"/>
        </w:rPr>
        <w:t>第三节 指标体系与上位规划落实</w:t>
      </w:r>
      <w:r>
        <w:rPr>
          <w:highlight w:val="none"/>
        </w:rPr>
        <w:tab/>
      </w:r>
      <w:r>
        <w:rPr>
          <w:rFonts w:hint="eastAsia"/>
          <w:highlight w:val="none"/>
          <w:lang w:val="en-US" w:eastAsia="zh-CN"/>
        </w:rPr>
        <w:t>1</w:t>
      </w:r>
      <w:r>
        <w:rPr>
          <w:highlight w:val="none"/>
        </w:rPr>
        <w:fldChar w:fldCharType="end"/>
      </w:r>
      <w:r>
        <w:rPr>
          <w:rFonts w:hint="eastAsia"/>
          <w:highlight w:val="none"/>
          <w:lang w:val="en-US" w:eastAsia="zh-CN"/>
        </w:rPr>
        <w:t>1</w:t>
      </w:r>
    </w:p>
    <w:p w14:paraId="13C91BF0">
      <w:pPr>
        <w:pStyle w:val="13"/>
        <w:tabs>
          <w:tab w:val="right" w:leader="dot" w:pos="8306"/>
        </w:tabs>
        <w:ind w:left="0" w:leftChars="0" w:firstLine="0" w:firstLineChars="0"/>
        <w:rPr>
          <w:rFonts w:hint="eastAsia" w:eastAsia="仿宋"/>
          <w:highlight w:val="none"/>
          <w:lang w:val="en-US" w:eastAsia="zh-CN"/>
        </w:rPr>
      </w:pPr>
      <w:r>
        <w:rPr>
          <w:highlight w:val="none"/>
        </w:rPr>
        <w:fldChar w:fldCharType="begin"/>
      </w:r>
      <w:r>
        <w:rPr>
          <w:highlight w:val="none"/>
        </w:rPr>
        <w:instrText xml:space="preserve"> HYPERLINK \l _Toc5887 </w:instrText>
      </w:r>
      <w:r>
        <w:rPr>
          <w:highlight w:val="none"/>
        </w:rPr>
        <w:fldChar w:fldCharType="separate"/>
      </w:r>
      <w:r>
        <w:rPr>
          <w:rFonts w:hint="eastAsia" w:ascii="方正小标宋_GBK" w:hAnsi="方正小标宋_GBK" w:eastAsia="方正小标宋_GBK" w:cs="方正小标宋_GBK"/>
          <w:bCs w:val="0"/>
          <w:snapToGrid w:val="0"/>
          <w:spacing w:val="1"/>
          <w:kern w:val="0"/>
          <w:szCs w:val="36"/>
          <w:highlight w:val="none"/>
          <w:lang w:val="en-US" w:eastAsia="zh-CN"/>
        </w:rPr>
        <w:t>第四章 国土空间开发保护格局</w:t>
      </w:r>
      <w:r>
        <w:rPr>
          <w:highlight w:val="none"/>
        </w:rPr>
        <w:tab/>
      </w:r>
      <w:r>
        <w:rPr>
          <w:rFonts w:hint="eastAsia"/>
          <w:highlight w:val="none"/>
          <w:lang w:val="en-US" w:eastAsia="zh-CN"/>
        </w:rPr>
        <w:t>1</w:t>
      </w:r>
      <w:r>
        <w:rPr>
          <w:highlight w:val="none"/>
        </w:rPr>
        <w:fldChar w:fldCharType="end"/>
      </w:r>
      <w:r>
        <w:rPr>
          <w:rFonts w:hint="eastAsia"/>
          <w:highlight w:val="none"/>
          <w:lang w:val="en-US" w:eastAsia="zh-CN"/>
        </w:rPr>
        <w:t>3</w:t>
      </w:r>
    </w:p>
    <w:p w14:paraId="15DF8E75">
      <w:pPr>
        <w:pStyle w:val="14"/>
        <w:tabs>
          <w:tab w:val="right" w:leader="dot" w:pos="8306"/>
        </w:tabs>
        <w:ind w:left="0" w:leftChars="0" w:firstLine="640" w:firstLineChars="200"/>
        <w:rPr>
          <w:rFonts w:hint="eastAsia" w:eastAsia="仿宋"/>
          <w:highlight w:val="none"/>
          <w:lang w:val="en-US" w:eastAsia="zh-CN"/>
        </w:rPr>
      </w:pPr>
      <w:r>
        <w:rPr>
          <w:highlight w:val="none"/>
        </w:rPr>
        <w:fldChar w:fldCharType="begin"/>
      </w:r>
      <w:r>
        <w:rPr>
          <w:highlight w:val="none"/>
        </w:rPr>
        <w:instrText xml:space="preserve"> HYPERLINK \l _Toc3587 </w:instrText>
      </w:r>
      <w:r>
        <w:rPr>
          <w:highlight w:val="none"/>
        </w:rPr>
        <w:fldChar w:fldCharType="separate"/>
      </w:r>
      <w:r>
        <w:rPr>
          <w:rFonts w:hint="eastAsia" w:ascii="黑体" w:hAnsi="黑体" w:eastAsia="黑体" w:cs="黑体"/>
          <w:bCs/>
          <w:kern w:val="2"/>
          <w:szCs w:val="32"/>
          <w:highlight w:val="none"/>
          <w:lang w:val="en-US" w:eastAsia="zh-CN" w:bidi="ar-SA"/>
        </w:rPr>
        <w:t>第一节 统筹划定三条控制线</w:t>
      </w:r>
      <w:r>
        <w:rPr>
          <w:highlight w:val="none"/>
        </w:rPr>
        <w:tab/>
      </w:r>
      <w:r>
        <w:rPr>
          <w:rFonts w:hint="eastAsia"/>
          <w:highlight w:val="none"/>
          <w:lang w:val="en-US" w:eastAsia="zh-CN"/>
        </w:rPr>
        <w:t>1</w:t>
      </w:r>
      <w:r>
        <w:rPr>
          <w:highlight w:val="none"/>
        </w:rPr>
        <w:fldChar w:fldCharType="end"/>
      </w:r>
      <w:r>
        <w:rPr>
          <w:rFonts w:hint="eastAsia"/>
          <w:highlight w:val="none"/>
          <w:lang w:val="en-US" w:eastAsia="zh-CN"/>
        </w:rPr>
        <w:t>3</w:t>
      </w:r>
    </w:p>
    <w:p w14:paraId="0BD4A113">
      <w:pPr>
        <w:pStyle w:val="14"/>
        <w:tabs>
          <w:tab w:val="right" w:leader="dot" w:pos="8306"/>
        </w:tabs>
        <w:ind w:left="0" w:leftChars="0" w:firstLine="640" w:firstLineChars="200"/>
        <w:rPr>
          <w:rFonts w:hint="default" w:eastAsia="仿宋"/>
          <w:highlight w:val="none"/>
          <w:lang w:val="en-US" w:eastAsia="zh-CN"/>
        </w:rPr>
      </w:pPr>
      <w:r>
        <w:rPr>
          <w:highlight w:val="none"/>
        </w:rPr>
        <w:fldChar w:fldCharType="begin"/>
      </w:r>
      <w:r>
        <w:rPr>
          <w:highlight w:val="none"/>
        </w:rPr>
        <w:instrText xml:space="preserve"> HYPERLINK \l _Toc15399 </w:instrText>
      </w:r>
      <w:r>
        <w:rPr>
          <w:highlight w:val="none"/>
        </w:rPr>
        <w:fldChar w:fldCharType="separate"/>
      </w:r>
      <w:r>
        <w:rPr>
          <w:rFonts w:hint="eastAsia" w:ascii="黑体" w:hAnsi="黑体" w:eastAsia="黑体" w:cs="黑体"/>
          <w:bCs/>
          <w:kern w:val="2"/>
          <w:szCs w:val="32"/>
          <w:highlight w:val="none"/>
          <w:lang w:val="en-US" w:eastAsia="zh-CN" w:bidi="ar-SA"/>
        </w:rPr>
        <w:t>第二节 区域协调发展</w:t>
      </w:r>
      <w:r>
        <w:rPr>
          <w:highlight w:val="none"/>
        </w:rPr>
        <w:tab/>
      </w:r>
      <w:r>
        <w:rPr>
          <w:highlight w:val="none"/>
        </w:rPr>
        <w:fldChar w:fldCharType="end"/>
      </w:r>
      <w:r>
        <w:rPr>
          <w:rFonts w:hint="eastAsia"/>
          <w:highlight w:val="none"/>
          <w:lang w:val="en-US" w:eastAsia="zh-CN"/>
        </w:rPr>
        <w:t>15</w:t>
      </w:r>
    </w:p>
    <w:p w14:paraId="325E902D">
      <w:pPr>
        <w:pStyle w:val="14"/>
        <w:tabs>
          <w:tab w:val="right" w:leader="dot" w:pos="8306"/>
        </w:tabs>
        <w:ind w:left="0" w:leftChars="0" w:firstLine="640" w:firstLineChars="200"/>
        <w:rPr>
          <w:rFonts w:hint="default" w:eastAsia="仿宋"/>
          <w:highlight w:val="none"/>
          <w:lang w:val="en-US" w:eastAsia="zh-CN"/>
        </w:rPr>
      </w:pPr>
      <w:r>
        <w:rPr>
          <w:highlight w:val="none"/>
        </w:rPr>
        <w:fldChar w:fldCharType="begin"/>
      </w:r>
      <w:r>
        <w:rPr>
          <w:highlight w:val="none"/>
        </w:rPr>
        <w:instrText xml:space="preserve"> HYPERLINK \l _Toc15399 </w:instrText>
      </w:r>
      <w:r>
        <w:rPr>
          <w:highlight w:val="none"/>
        </w:rPr>
        <w:fldChar w:fldCharType="separate"/>
      </w:r>
      <w:r>
        <w:rPr>
          <w:rFonts w:hint="eastAsia" w:ascii="黑体" w:hAnsi="黑体" w:eastAsia="黑体" w:cs="黑体"/>
          <w:bCs/>
          <w:kern w:val="2"/>
          <w:szCs w:val="32"/>
          <w:highlight w:val="none"/>
          <w:lang w:val="en-US" w:eastAsia="zh-CN" w:bidi="ar-SA"/>
        </w:rPr>
        <w:t>第三节 总体空间格局</w:t>
      </w:r>
      <w:r>
        <w:rPr>
          <w:highlight w:val="none"/>
        </w:rPr>
        <w:tab/>
      </w:r>
      <w:r>
        <w:rPr>
          <w:highlight w:val="none"/>
        </w:rPr>
        <w:fldChar w:fldCharType="end"/>
      </w:r>
      <w:r>
        <w:rPr>
          <w:rFonts w:hint="eastAsia"/>
          <w:highlight w:val="none"/>
          <w:lang w:val="en-US" w:eastAsia="zh-CN"/>
        </w:rPr>
        <w:t>16</w:t>
      </w:r>
    </w:p>
    <w:p w14:paraId="77539136">
      <w:pPr>
        <w:pStyle w:val="14"/>
        <w:tabs>
          <w:tab w:val="right" w:leader="dot" w:pos="8306"/>
        </w:tabs>
        <w:ind w:left="0" w:leftChars="0" w:firstLine="640" w:firstLineChars="200"/>
        <w:rPr>
          <w:rFonts w:hint="default" w:eastAsia="仿宋"/>
          <w:highlight w:val="none"/>
          <w:lang w:val="en-US" w:eastAsia="zh-CN"/>
        </w:rPr>
      </w:pPr>
      <w:r>
        <w:rPr>
          <w:highlight w:val="none"/>
        </w:rPr>
        <w:fldChar w:fldCharType="begin"/>
      </w:r>
      <w:r>
        <w:rPr>
          <w:highlight w:val="none"/>
        </w:rPr>
        <w:instrText xml:space="preserve"> HYPERLINK \l _Toc15399 </w:instrText>
      </w:r>
      <w:r>
        <w:rPr>
          <w:highlight w:val="none"/>
        </w:rPr>
        <w:fldChar w:fldCharType="separate"/>
      </w:r>
      <w:r>
        <w:rPr>
          <w:rFonts w:hint="eastAsia" w:ascii="黑体" w:hAnsi="黑体" w:eastAsia="黑体" w:cs="黑体"/>
          <w:bCs/>
          <w:kern w:val="2"/>
          <w:szCs w:val="32"/>
          <w:highlight w:val="none"/>
          <w:lang w:val="en-US" w:eastAsia="zh-CN" w:bidi="ar-SA"/>
        </w:rPr>
        <w:t>第四节 规划分区.</w:t>
      </w:r>
      <w:r>
        <w:rPr>
          <w:rFonts w:hint="eastAsia"/>
          <w:highlight w:val="none"/>
          <w:lang w:val="en-US" w:eastAsia="zh-CN"/>
        </w:rPr>
        <w:t>..............................</w:t>
      </w:r>
      <w:r>
        <w:rPr>
          <w:highlight w:val="none"/>
        </w:rPr>
        <w:tab/>
      </w:r>
      <w:r>
        <w:rPr>
          <w:highlight w:val="none"/>
        </w:rPr>
        <w:fldChar w:fldCharType="end"/>
      </w:r>
      <w:r>
        <w:rPr>
          <w:rFonts w:hint="eastAsia"/>
          <w:highlight w:val="none"/>
          <w:lang w:val="en-US" w:eastAsia="zh-CN"/>
        </w:rPr>
        <w:t>17</w:t>
      </w:r>
    </w:p>
    <w:p w14:paraId="77196361">
      <w:pPr>
        <w:pStyle w:val="14"/>
        <w:tabs>
          <w:tab w:val="right" w:leader="dot" w:pos="8306"/>
        </w:tabs>
        <w:ind w:left="0" w:leftChars="0" w:firstLine="640" w:firstLineChars="200"/>
        <w:rPr>
          <w:rFonts w:hint="default"/>
          <w:highlight w:val="none"/>
          <w:lang w:val="en-US" w:eastAsia="zh-CN"/>
        </w:rPr>
      </w:pPr>
      <w:r>
        <w:rPr>
          <w:highlight w:val="none"/>
        </w:rPr>
        <w:fldChar w:fldCharType="begin"/>
      </w:r>
      <w:r>
        <w:rPr>
          <w:highlight w:val="none"/>
        </w:rPr>
        <w:instrText xml:space="preserve"> HYPERLINK \l _Toc15399 </w:instrText>
      </w:r>
      <w:r>
        <w:rPr>
          <w:highlight w:val="none"/>
        </w:rPr>
        <w:fldChar w:fldCharType="separate"/>
      </w:r>
      <w:r>
        <w:rPr>
          <w:rFonts w:hint="eastAsia" w:ascii="黑体" w:hAnsi="黑体" w:eastAsia="黑体" w:cs="黑体"/>
          <w:bCs/>
          <w:kern w:val="2"/>
          <w:szCs w:val="32"/>
          <w:highlight w:val="none"/>
          <w:lang w:val="en-US" w:eastAsia="zh-CN" w:bidi="ar-SA"/>
        </w:rPr>
        <w:t>第五节 用地用途和结构调整</w:t>
      </w:r>
      <w:r>
        <w:rPr>
          <w:rFonts w:hint="eastAsia"/>
          <w:highlight w:val="none"/>
          <w:lang w:val="en-US" w:eastAsia="zh-CN"/>
        </w:rPr>
        <w:t>......................</w:t>
      </w:r>
      <w:r>
        <w:rPr>
          <w:highlight w:val="none"/>
        </w:rPr>
        <w:tab/>
      </w:r>
      <w:r>
        <w:rPr>
          <w:rFonts w:hint="eastAsia"/>
          <w:highlight w:val="none"/>
          <w:lang w:val="en-US" w:eastAsia="zh-CN"/>
        </w:rPr>
        <w:t>2</w:t>
      </w:r>
      <w:r>
        <w:rPr>
          <w:highlight w:val="none"/>
        </w:rPr>
        <w:fldChar w:fldCharType="end"/>
      </w:r>
      <w:r>
        <w:rPr>
          <w:rFonts w:hint="eastAsia"/>
          <w:highlight w:val="none"/>
          <w:lang w:val="en-US" w:eastAsia="zh-CN"/>
        </w:rPr>
        <w:t>0</w:t>
      </w:r>
    </w:p>
    <w:p w14:paraId="02CA0615">
      <w:pPr>
        <w:pStyle w:val="14"/>
        <w:tabs>
          <w:tab w:val="right" w:leader="dot" w:pos="8306"/>
        </w:tabs>
        <w:ind w:left="0" w:leftChars="0" w:firstLine="0" w:firstLineChars="0"/>
        <w:rPr>
          <w:rFonts w:hint="default" w:eastAsia="仿宋"/>
          <w:highlight w:val="none"/>
          <w:lang w:val="en-US" w:eastAsia="zh-CN"/>
        </w:rPr>
      </w:pPr>
      <w:r>
        <w:rPr>
          <w:highlight w:val="none"/>
        </w:rPr>
        <w:fldChar w:fldCharType="begin"/>
      </w:r>
      <w:r>
        <w:rPr>
          <w:highlight w:val="none"/>
        </w:rPr>
        <w:instrText xml:space="preserve"> HYPERLINK \l _Toc5887 </w:instrText>
      </w:r>
      <w:r>
        <w:rPr>
          <w:highlight w:val="none"/>
        </w:rPr>
        <w:fldChar w:fldCharType="separate"/>
      </w:r>
      <w:r>
        <w:rPr>
          <w:rFonts w:hint="eastAsia" w:ascii="方正小标宋_GBK" w:hAnsi="方正小标宋_GBK" w:eastAsia="方正小标宋_GBK" w:cs="方正小标宋_GBK"/>
          <w:bCs w:val="0"/>
          <w:snapToGrid w:val="0"/>
          <w:spacing w:val="1"/>
          <w:kern w:val="0"/>
          <w:sz w:val="32"/>
          <w:szCs w:val="36"/>
          <w:highlight w:val="none"/>
          <w:lang w:val="en-US" w:eastAsia="zh-CN" w:bidi="ar-SA"/>
        </w:rPr>
        <w:t>第五章 空间布局优化</w:t>
      </w:r>
      <w:r>
        <w:rPr>
          <w:highlight w:val="none"/>
        </w:rPr>
        <w:tab/>
      </w:r>
      <w:r>
        <w:rPr>
          <w:highlight w:val="none"/>
        </w:rPr>
        <w:fldChar w:fldCharType="end"/>
      </w:r>
      <w:r>
        <w:rPr>
          <w:rFonts w:hint="eastAsia"/>
          <w:highlight w:val="none"/>
          <w:lang w:val="en-US" w:eastAsia="zh-CN"/>
        </w:rPr>
        <w:t>21</w:t>
      </w:r>
    </w:p>
    <w:p w14:paraId="15C341D8">
      <w:pPr>
        <w:pStyle w:val="14"/>
        <w:tabs>
          <w:tab w:val="right" w:leader="dot" w:pos="8306"/>
        </w:tabs>
        <w:ind w:left="0" w:leftChars="0" w:firstLine="640" w:firstLineChars="200"/>
        <w:rPr>
          <w:rFonts w:hint="default"/>
          <w:highlight w:val="none"/>
          <w:lang w:val="en-US" w:eastAsia="zh-CN"/>
        </w:rPr>
      </w:pPr>
      <w:r>
        <w:rPr>
          <w:highlight w:val="none"/>
        </w:rPr>
        <w:fldChar w:fldCharType="begin"/>
      </w:r>
      <w:r>
        <w:rPr>
          <w:highlight w:val="none"/>
        </w:rPr>
        <w:instrText xml:space="preserve"> HYPERLINK \l _Toc7179 </w:instrText>
      </w:r>
      <w:r>
        <w:rPr>
          <w:highlight w:val="none"/>
        </w:rPr>
        <w:fldChar w:fldCharType="separate"/>
      </w:r>
      <w:r>
        <w:rPr>
          <w:rFonts w:hint="eastAsia" w:ascii="黑体" w:hAnsi="黑体" w:eastAsia="黑体" w:cs="黑体"/>
          <w:bCs/>
          <w:kern w:val="2"/>
          <w:szCs w:val="32"/>
          <w:highlight w:val="none"/>
          <w:lang w:val="en-US" w:eastAsia="zh-CN" w:bidi="ar-SA"/>
        </w:rPr>
        <w:t>第一节 保护优质优美的农业空间</w:t>
      </w:r>
      <w:r>
        <w:rPr>
          <w:highlight w:val="none"/>
        </w:rPr>
        <w:tab/>
      </w:r>
      <w:r>
        <w:rPr>
          <w:highlight w:val="none"/>
        </w:rPr>
        <w:fldChar w:fldCharType="end"/>
      </w:r>
      <w:r>
        <w:rPr>
          <w:rFonts w:hint="eastAsia"/>
          <w:highlight w:val="none"/>
          <w:lang w:val="en-US" w:eastAsia="zh-CN"/>
        </w:rPr>
        <w:t>21</w:t>
      </w:r>
    </w:p>
    <w:p w14:paraId="10A8E364">
      <w:pPr>
        <w:pStyle w:val="14"/>
        <w:tabs>
          <w:tab w:val="right" w:leader="dot" w:pos="8306"/>
        </w:tabs>
        <w:ind w:left="0" w:leftChars="0" w:firstLine="640" w:firstLineChars="200"/>
        <w:rPr>
          <w:rFonts w:hint="eastAsia" w:eastAsia="仿宋"/>
          <w:highlight w:val="none"/>
          <w:lang w:val="en-US" w:eastAsia="zh-CN"/>
        </w:rPr>
      </w:pPr>
      <w:r>
        <w:rPr>
          <w:highlight w:val="none"/>
        </w:rPr>
        <w:fldChar w:fldCharType="begin"/>
      </w:r>
      <w:r>
        <w:rPr>
          <w:highlight w:val="none"/>
        </w:rPr>
        <w:instrText xml:space="preserve"> HYPERLINK \l _Toc17336 </w:instrText>
      </w:r>
      <w:r>
        <w:rPr>
          <w:highlight w:val="none"/>
        </w:rPr>
        <w:fldChar w:fldCharType="separate"/>
      </w:r>
      <w:r>
        <w:rPr>
          <w:rFonts w:hint="eastAsia" w:ascii="黑体" w:hAnsi="黑体" w:eastAsia="黑体" w:cs="黑体"/>
          <w:bCs/>
          <w:kern w:val="2"/>
          <w:szCs w:val="32"/>
          <w:highlight w:val="none"/>
          <w:lang w:val="en-US" w:eastAsia="zh-CN" w:bidi="ar-SA"/>
        </w:rPr>
        <w:t>第二节</w:t>
      </w:r>
      <w:r>
        <w:rPr>
          <w:rFonts w:hint="default" w:ascii="黑体" w:hAnsi="黑体" w:eastAsia="黑体" w:cs="黑体"/>
          <w:bCs/>
          <w:kern w:val="2"/>
          <w:szCs w:val="32"/>
          <w:highlight w:val="none"/>
          <w:lang w:val="en-US" w:eastAsia="zh-Hans" w:bidi="ar-SA"/>
        </w:rPr>
        <w:t xml:space="preserve"> </w:t>
      </w:r>
      <w:r>
        <w:rPr>
          <w:rFonts w:hint="eastAsia" w:ascii="黑体" w:hAnsi="黑体" w:eastAsia="黑体" w:cs="黑体"/>
          <w:bCs/>
          <w:kern w:val="2"/>
          <w:szCs w:val="32"/>
          <w:highlight w:val="none"/>
          <w:lang w:val="en-US" w:eastAsia="zh-CN" w:bidi="ar-SA"/>
        </w:rPr>
        <w:t>建设绿色安全生态空间</w:t>
      </w:r>
      <w:r>
        <w:rPr>
          <w:highlight w:val="none"/>
        </w:rPr>
        <w:tab/>
      </w:r>
      <w:r>
        <w:rPr>
          <w:rFonts w:hint="eastAsia"/>
          <w:highlight w:val="none"/>
          <w:lang w:val="en-US" w:eastAsia="zh-CN"/>
        </w:rPr>
        <w:t>23</w:t>
      </w:r>
      <w:r>
        <w:rPr>
          <w:highlight w:val="none"/>
        </w:rPr>
        <w:fldChar w:fldCharType="end"/>
      </w:r>
    </w:p>
    <w:p w14:paraId="195BA12B">
      <w:pPr>
        <w:pStyle w:val="10"/>
        <w:tabs>
          <w:tab w:val="right" w:leader="dot" w:pos="8306"/>
        </w:tabs>
        <w:ind w:left="0" w:leftChars="0" w:firstLine="640" w:firstLineChars="200"/>
        <w:rPr>
          <w:rFonts w:hint="eastAsia" w:eastAsia="仿宋"/>
          <w:highlight w:val="none"/>
          <w:lang w:val="en-US" w:eastAsia="zh-CN"/>
        </w:rPr>
      </w:pPr>
      <w:r>
        <w:rPr>
          <w:highlight w:val="none"/>
        </w:rPr>
        <w:fldChar w:fldCharType="begin"/>
      </w:r>
      <w:r>
        <w:rPr>
          <w:highlight w:val="none"/>
        </w:rPr>
        <w:instrText xml:space="preserve"> HYPERLINK \l _Toc17336 </w:instrText>
      </w:r>
      <w:r>
        <w:rPr>
          <w:highlight w:val="none"/>
        </w:rPr>
        <w:fldChar w:fldCharType="separate"/>
      </w:r>
      <w:r>
        <w:rPr>
          <w:rFonts w:hint="eastAsia" w:ascii="黑体" w:hAnsi="黑体" w:eastAsia="黑体" w:cs="黑体"/>
          <w:bCs/>
          <w:kern w:val="2"/>
          <w:szCs w:val="32"/>
          <w:highlight w:val="none"/>
          <w:lang w:val="en-US" w:eastAsia="zh-CN" w:bidi="ar-SA"/>
        </w:rPr>
        <w:t>第三节</w:t>
      </w:r>
      <w:r>
        <w:rPr>
          <w:rFonts w:hint="default" w:ascii="黑体" w:hAnsi="黑体" w:eastAsia="黑体" w:cs="黑体"/>
          <w:bCs/>
          <w:kern w:val="2"/>
          <w:szCs w:val="32"/>
          <w:highlight w:val="none"/>
          <w:lang w:val="en-US" w:eastAsia="zh-Hans" w:bidi="ar-SA"/>
        </w:rPr>
        <w:t xml:space="preserve"> </w:t>
      </w:r>
      <w:r>
        <w:rPr>
          <w:rFonts w:hint="eastAsia" w:ascii="黑体" w:hAnsi="黑体" w:eastAsia="黑体" w:cs="黑体"/>
          <w:bCs/>
          <w:kern w:val="2"/>
          <w:szCs w:val="32"/>
          <w:highlight w:val="none"/>
          <w:lang w:val="en-US" w:eastAsia="zh-CN" w:bidi="ar-SA"/>
        </w:rPr>
        <w:t>构建集约高效的城乡建设空间</w:t>
      </w:r>
      <w:r>
        <w:rPr>
          <w:highlight w:val="none"/>
        </w:rPr>
        <w:tab/>
      </w:r>
      <w:r>
        <w:rPr>
          <w:rFonts w:hint="eastAsia"/>
          <w:highlight w:val="none"/>
          <w:lang w:val="en-US" w:eastAsia="zh-CN"/>
        </w:rPr>
        <w:t>2</w:t>
      </w:r>
      <w:r>
        <w:rPr>
          <w:highlight w:val="none"/>
        </w:rPr>
        <w:fldChar w:fldCharType="end"/>
      </w:r>
      <w:r>
        <w:rPr>
          <w:rFonts w:hint="eastAsia"/>
          <w:highlight w:val="none"/>
          <w:lang w:val="en-US" w:eastAsia="zh-CN"/>
        </w:rPr>
        <w:t>8</w:t>
      </w:r>
    </w:p>
    <w:p w14:paraId="0CB85383">
      <w:pPr>
        <w:pStyle w:val="13"/>
        <w:tabs>
          <w:tab w:val="right" w:leader="dot" w:pos="8306"/>
        </w:tabs>
        <w:ind w:left="0" w:leftChars="0" w:firstLine="0" w:firstLineChars="0"/>
        <w:rPr>
          <w:rFonts w:hint="default" w:eastAsia="仿宋"/>
          <w:highlight w:val="none"/>
          <w:lang w:val="en-US" w:eastAsia="zh-CN"/>
        </w:rPr>
      </w:pPr>
      <w:r>
        <w:rPr>
          <w:highlight w:val="none"/>
        </w:rPr>
        <w:fldChar w:fldCharType="begin"/>
      </w:r>
      <w:r>
        <w:rPr>
          <w:highlight w:val="none"/>
        </w:rPr>
        <w:instrText xml:space="preserve"> HYPERLINK \l _Toc6596 </w:instrText>
      </w:r>
      <w:r>
        <w:rPr>
          <w:highlight w:val="none"/>
        </w:rPr>
        <w:fldChar w:fldCharType="separate"/>
      </w:r>
      <w:r>
        <w:rPr>
          <w:rFonts w:hint="eastAsia" w:ascii="方正小标宋_GBK" w:hAnsi="方正小标宋_GBK" w:eastAsia="方正小标宋_GBK" w:cs="方正小标宋_GBK"/>
          <w:bCs w:val="0"/>
          <w:kern w:val="0"/>
          <w:szCs w:val="36"/>
          <w:highlight w:val="none"/>
          <w:lang w:val="en-US" w:eastAsia="zh-CN" w:bidi="ar"/>
        </w:rPr>
        <w:t>第六章 泥尔河乡乡政府驻地规划</w:t>
      </w:r>
      <w:r>
        <w:rPr>
          <w:highlight w:val="none"/>
        </w:rPr>
        <w:tab/>
      </w:r>
      <w:r>
        <w:rPr>
          <w:highlight w:val="none"/>
        </w:rPr>
        <w:fldChar w:fldCharType="end"/>
      </w:r>
      <w:r>
        <w:rPr>
          <w:rFonts w:hint="eastAsia"/>
          <w:highlight w:val="none"/>
          <w:lang w:val="en-US" w:eastAsia="zh-CN"/>
        </w:rPr>
        <w:t>32</w:t>
      </w:r>
    </w:p>
    <w:p w14:paraId="67B987BB">
      <w:pPr>
        <w:pStyle w:val="14"/>
        <w:tabs>
          <w:tab w:val="right" w:leader="dot" w:pos="8306"/>
        </w:tabs>
        <w:ind w:left="0" w:leftChars="0" w:firstLine="640" w:firstLineChars="200"/>
        <w:rPr>
          <w:rFonts w:hint="eastAsia" w:eastAsia="仿宋"/>
          <w:highlight w:val="none"/>
          <w:lang w:val="en-US" w:eastAsia="zh-CN"/>
        </w:rPr>
      </w:pPr>
      <w:r>
        <w:rPr>
          <w:highlight w:val="none"/>
        </w:rPr>
        <w:fldChar w:fldCharType="begin"/>
      </w:r>
      <w:r>
        <w:rPr>
          <w:highlight w:val="none"/>
        </w:rPr>
        <w:instrText xml:space="preserve"> HYPERLINK \l _Toc19668 </w:instrText>
      </w:r>
      <w:r>
        <w:rPr>
          <w:highlight w:val="none"/>
        </w:rPr>
        <w:fldChar w:fldCharType="separate"/>
      </w:r>
      <w:r>
        <w:rPr>
          <w:rFonts w:hint="eastAsia" w:ascii="黑体" w:hAnsi="黑体" w:eastAsia="黑体" w:cs="黑体"/>
          <w:bCs/>
          <w:kern w:val="2"/>
          <w:szCs w:val="32"/>
          <w:highlight w:val="none"/>
          <w:lang w:val="en-US" w:eastAsia="zh-CN" w:bidi="ar-SA"/>
        </w:rPr>
        <w:t>第一节 发展方向与规模</w:t>
      </w:r>
      <w:r>
        <w:rPr>
          <w:highlight w:val="none"/>
        </w:rPr>
        <w:tab/>
      </w:r>
      <w:r>
        <w:rPr>
          <w:rFonts w:hint="eastAsia"/>
          <w:highlight w:val="none"/>
          <w:lang w:val="en-US" w:eastAsia="zh-CN"/>
        </w:rPr>
        <w:t>3</w:t>
      </w:r>
      <w:r>
        <w:rPr>
          <w:highlight w:val="none"/>
        </w:rPr>
        <w:fldChar w:fldCharType="end"/>
      </w:r>
      <w:r>
        <w:rPr>
          <w:rFonts w:hint="eastAsia"/>
          <w:highlight w:val="none"/>
          <w:lang w:val="en-US" w:eastAsia="zh-CN"/>
        </w:rPr>
        <w:t>2</w:t>
      </w:r>
    </w:p>
    <w:p w14:paraId="0E077D48">
      <w:pPr>
        <w:pStyle w:val="14"/>
        <w:tabs>
          <w:tab w:val="right" w:leader="dot" w:pos="8306"/>
        </w:tabs>
        <w:ind w:left="0" w:leftChars="0" w:firstLine="640" w:firstLineChars="200"/>
        <w:rPr>
          <w:rFonts w:hint="eastAsia"/>
          <w:highlight w:val="none"/>
          <w:lang w:val="en-US" w:eastAsia="zh-CN"/>
        </w:rPr>
      </w:pPr>
      <w:r>
        <w:rPr>
          <w:highlight w:val="none"/>
        </w:rPr>
        <w:fldChar w:fldCharType="begin"/>
      </w:r>
      <w:r>
        <w:rPr>
          <w:highlight w:val="none"/>
        </w:rPr>
        <w:instrText xml:space="preserve"> HYPERLINK \l _Toc26385 </w:instrText>
      </w:r>
      <w:r>
        <w:rPr>
          <w:highlight w:val="none"/>
        </w:rPr>
        <w:fldChar w:fldCharType="separate"/>
      </w:r>
      <w:r>
        <w:rPr>
          <w:rFonts w:hint="eastAsia" w:ascii="黑体" w:hAnsi="黑体" w:eastAsia="黑体" w:cs="黑体"/>
          <w:bCs/>
          <w:kern w:val="2"/>
          <w:szCs w:val="32"/>
          <w:highlight w:val="none"/>
          <w:lang w:val="en-US" w:eastAsia="zh-CN" w:bidi="ar-SA"/>
        </w:rPr>
        <w:t>第二节 功能结构与空间布局</w:t>
      </w:r>
      <w:r>
        <w:rPr>
          <w:highlight w:val="none"/>
        </w:rPr>
        <w:tab/>
      </w:r>
      <w:r>
        <w:rPr>
          <w:rFonts w:hint="eastAsia"/>
          <w:highlight w:val="none"/>
          <w:lang w:val="en-US" w:eastAsia="zh-CN"/>
        </w:rPr>
        <w:t>3</w:t>
      </w:r>
      <w:r>
        <w:rPr>
          <w:highlight w:val="none"/>
        </w:rPr>
        <w:fldChar w:fldCharType="end"/>
      </w:r>
      <w:r>
        <w:rPr>
          <w:rFonts w:hint="eastAsia"/>
          <w:highlight w:val="none"/>
          <w:lang w:val="en-US" w:eastAsia="zh-CN"/>
        </w:rPr>
        <w:t>2</w:t>
      </w:r>
    </w:p>
    <w:p w14:paraId="294E919A">
      <w:pPr>
        <w:pStyle w:val="14"/>
        <w:tabs>
          <w:tab w:val="right" w:leader="dot" w:pos="8306"/>
        </w:tabs>
        <w:ind w:left="0" w:leftChars="0" w:firstLine="640" w:firstLineChars="200"/>
        <w:rPr>
          <w:rFonts w:hint="eastAsia"/>
          <w:highlight w:val="none"/>
          <w:lang w:val="en-US" w:eastAsia="zh-CN"/>
        </w:rPr>
      </w:pPr>
      <w:r>
        <w:rPr>
          <w:highlight w:val="none"/>
        </w:rPr>
        <w:fldChar w:fldCharType="begin"/>
      </w:r>
      <w:r>
        <w:rPr>
          <w:highlight w:val="none"/>
        </w:rPr>
        <w:instrText xml:space="preserve"> HYPERLINK \l _Toc26385 </w:instrText>
      </w:r>
      <w:r>
        <w:rPr>
          <w:highlight w:val="none"/>
        </w:rPr>
        <w:fldChar w:fldCharType="separate"/>
      </w:r>
      <w:r>
        <w:rPr>
          <w:rFonts w:hint="eastAsia" w:ascii="黑体" w:hAnsi="黑体" w:eastAsia="黑体" w:cs="黑体"/>
          <w:bCs/>
          <w:kern w:val="2"/>
          <w:szCs w:val="32"/>
          <w:highlight w:val="none"/>
          <w:lang w:val="en-US" w:eastAsia="zh-CN" w:bidi="ar-SA"/>
        </w:rPr>
        <w:t>第三节 绿地与开敞空间</w:t>
      </w:r>
      <w:r>
        <w:rPr>
          <w:highlight w:val="none"/>
        </w:rPr>
        <w:tab/>
      </w:r>
      <w:r>
        <w:rPr>
          <w:highlight w:val="none"/>
        </w:rPr>
        <w:fldChar w:fldCharType="end"/>
      </w:r>
      <w:r>
        <w:rPr>
          <w:rFonts w:hint="eastAsia"/>
          <w:highlight w:val="none"/>
          <w:lang w:val="en-US" w:eastAsia="zh-CN"/>
        </w:rPr>
        <w:t>33</w:t>
      </w:r>
    </w:p>
    <w:p w14:paraId="0162E853">
      <w:pPr>
        <w:pStyle w:val="14"/>
        <w:tabs>
          <w:tab w:val="right" w:leader="dot" w:pos="8306"/>
        </w:tabs>
        <w:ind w:left="0" w:leftChars="0" w:firstLine="640" w:firstLineChars="200"/>
        <w:rPr>
          <w:rFonts w:hint="eastAsia"/>
          <w:highlight w:val="none"/>
          <w:lang w:val="en-US" w:eastAsia="zh-CN"/>
        </w:rPr>
      </w:pPr>
      <w:r>
        <w:rPr>
          <w:highlight w:val="none"/>
        </w:rPr>
        <w:fldChar w:fldCharType="begin"/>
      </w:r>
      <w:r>
        <w:rPr>
          <w:highlight w:val="none"/>
        </w:rPr>
        <w:instrText xml:space="preserve"> HYPERLINK \l _Toc26385 </w:instrText>
      </w:r>
      <w:r>
        <w:rPr>
          <w:highlight w:val="none"/>
        </w:rPr>
        <w:fldChar w:fldCharType="separate"/>
      </w:r>
      <w:r>
        <w:rPr>
          <w:rFonts w:hint="eastAsia" w:ascii="黑体" w:hAnsi="黑体" w:eastAsia="黑体" w:cs="黑体"/>
          <w:bCs/>
          <w:kern w:val="2"/>
          <w:szCs w:val="32"/>
          <w:highlight w:val="none"/>
          <w:lang w:val="en-US" w:eastAsia="zh-CN" w:bidi="ar-SA"/>
        </w:rPr>
        <w:t>第四节 完善道路与交通设施</w:t>
      </w:r>
      <w:r>
        <w:rPr>
          <w:highlight w:val="none"/>
        </w:rPr>
        <w:tab/>
      </w:r>
      <w:r>
        <w:rPr>
          <w:rFonts w:hint="eastAsia"/>
          <w:highlight w:val="none"/>
          <w:lang w:val="en-US" w:eastAsia="zh-CN"/>
        </w:rPr>
        <w:t>33</w:t>
      </w:r>
      <w:r>
        <w:rPr>
          <w:highlight w:val="none"/>
        </w:rPr>
        <w:fldChar w:fldCharType="end"/>
      </w:r>
    </w:p>
    <w:p w14:paraId="36C83ED1">
      <w:pPr>
        <w:pStyle w:val="14"/>
        <w:tabs>
          <w:tab w:val="right" w:leader="dot" w:pos="8306"/>
        </w:tabs>
        <w:ind w:left="0" w:leftChars="0" w:firstLine="640" w:firstLineChars="200"/>
        <w:rPr>
          <w:rFonts w:hint="default"/>
          <w:highlight w:val="none"/>
          <w:lang w:val="en-US" w:eastAsia="zh-CN"/>
        </w:rPr>
      </w:pPr>
      <w:r>
        <w:rPr>
          <w:rFonts w:hint="eastAsia" w:ascii="黑体" w:hAnsi="黑体" w:eastAsia="黑体" w:cs="黑体"/>
          <w:highlight w:val="none"/>
        </w:rPr>
        <w:fldChar w:fldCharType="begin"/>
      </w:r>
      <w:r>
        <w:rPr>
          <w:rFonts w:hint="eastAsia" w:ascii="黑体" w:hAnsi="黑体" w:eastAsia="黑体" w:cs="黑体"/>
          <w:highlight w:val="none"/>
        </w:rPr>
        <w:instrText xml:space="preserve"> HYPERLINK \l _Toc26385 </w:instrText>
      </w:r>
      <w:r>
        <w:rPr>
          <w:rFonts w:hint="eastAsia" w:ascii="黑体" w:hAnsi="黑体" w:eastAsia="黑体" w:cs="黑体"/>
          <w:highlight w:val="none"/>
        </w:rPr>
        <w:fldChar w:fldCharType="separate"/>
      </w:r>
      <w:r>
        <w:rPr>
          <w:rFonts w:hint="eastAsia" w:ascii="黑体" w:hAnsi="黑体" w:eastAsia="黑体" w:cs="黑体"/>
          <w:highlight w:val="none"/>
          <w:lang w:val="en-US" w:eastAsia="zh-CN"/>
        </w:rPr>
        <w:t>第五节 风貌管控</w:t>
      </w:r>
      <w:r>
        <w:rPr>
          <w:highlight w:val="none"/>
        </w:rPr>
        <w:tab/>
      </w:r>
      <w:r>
        <w:rPr>
          <w:rFonts w:hint="eastAsia" w:ascii="黑体" w:hAnsi="黑体" w:eastAsia="黑体" w:cs="黑体"/>
          <w:highlight w:val="none"/>
        </w:rPr>
        <w:fldChar w:fldCharType="end"/>
      </w:r>
      <w:r>
        <w:rPr>
          <w:rFonts w:hint="eastAsia" w:ascii="黑体" w:hAnsi="黑体" w:eastAsia="黑体" w:cs="黑体"/>
          <w:highlight w:val="none"/>
          <w:lang w:val="en-US" w:eastAsia="zh-CN"/>
        </w:rPr>
        <w:t>34</w:t>
      </w:r>
    </w:p>
    <w:p w14:paraId="097FC177">
      <w:pPr>
        <w:pStyle w:val="13"/>
        <w:tabs>
          <w:tab w:val="right" w:leader="dot" w:pos="8306"/>
        </w:tabs>
        <w:ind w:left="0" w:leftChars="0" w:firstLine="0" w:firstLineChars="0"/>
        <w:rPr>
          <w:rFonts w:hint="eastAsia" w:eastAsia="仿宋"/>
          <w:highlight w:val="none"/>
          <w:lang w:val="en-US" w:eastAsia="zh-CN"/>
        </w:rPr>
      </w:pPr>
      <w:r>
        <w:rPr>
          <w:highlight w:val="none"/>
        </w:rPr>
        <w:fldChar w:fldCharType="begin"/>
      </w:r>
      <w:r>
        <w:rPr>
          <w:highlight w:val="none"/>
        </w:rPr>
        <w:instrText xml:space="preserve"> HYPERLINK \l _Toc29888 </w:instrText>
      </w:r>
      <w:r>
        <w:rPr>
          <w:highlight w:val="none"/>
        </w:rPr>
        <w:fldChar w:fldCharType="separate"/>
      </w:r>
      <w:r>
        <w:rPr>
          <w:rFonts w:hint="eastAsia" w:ascii="方正小标宋_GBK" w:hAnsi="方正小标宋_GBK" w:eastAsia="方正小标宋_GBK" w:cs="方正小标宋_GBK"/>
          <w:bCs w:val="0"/>
          <w:kern w:val="0"/>
          <w:szCs w:val="36"/>
          <w:highlight w:val="none"/>
          <w:lang w:val="en-US" w:eastAsia="zh-CN" w:bidi="ar"/>
        </w:rPr>
        <w:t>第七章 完善城乡设施支撑保障体系</w:t>
      </w:r>
      <w:r>
        <w:rPr>
          <w:highlight w:val="none"/>
        </w:rPr>
        <w:tab/>
      </w:r>
      <w:r>
        <w:rPr>
          <w:rFonts w:hint="eastAsia"/>
          <w:highlight w:val="none"/>
          <w:lang w:val="en-US" w:eastAsia="zh-CN"/>
        </w:rPr>
        <w:t>36</w:t>
      </w:r>
      <w:r>
        <w:rPr>
          <w:highlight w:val="none"/>
        </w:rPr>
        <w:fldChar w:fldCharType="end"/>
      </w:r>
    </w:p>
    <w:p w14:paraId="0D0181A1">
      <w:pPr>
        <w:pStyle w:val="14"/>
        <w:tabs>
          <w:tab w:val="right" w:leader="dot" w:pos="8306"/>
        </w:tabs>
        <w:ind w:left="0" w:leftChars="0" w:firstLine="640" w:firstLineChars="200"/>
        <w:rPr>
          <w:rFonts w:hint="eastAsia" w:eastAsia="仿宋"/>
          <w:highlight w:val="none"/>
          <w:lang w:val="en-US" w:eastAsia="zh-CN"/>
        </w:rPr>
      </w:pPr>
      <w:r>
        <w:rPr>
          <w:highlight w:val="none"/>
        </w:rPr>
        <w:fldChar w:fldCharType="begin"/>
      </w:r>
      <w:r>
        <w:rPr>
          <w:highlight w:val="none"/>
        </w:rPr>
        <w:instrText xml:space="preserve"> HYPERLINK \l _Toc4720 </w:instrText>
      </w:r>
      <w:r>
        <w:rPr>
          <w:highlight w:val="none"/>
        </w:rPr>
        <w:fldChar w:fldCharType="separate"/>
      </w:r>
      <w:r>
        <w:rPr>
          <w:rFonts w:hint="eastAsia" w:ascii="黑体" w:hAnsi="黑体" w:eastAsia="黑体" w:cs="黑体"/>
          <w:bCs/>
          <w:kern w:val="2"/>
          <w:szCs w:val="32"/>
          <w:highlight w:val="none"/>
          <w:lang w:val="en-US" w:eastAsia="zh-CN" w:bidi="ar-SA"/>
        </w:rPr>
        <w:t>第一节 优化高效便捷的综合交通体系</w:t>
      </w:r>
      <w:r>
        <w:rPr>
          <w:highlight w:val="none"/>
        </w:rPr>
        <w:tab/>
      </w:r>
      <w:r>
        <w:rPr>
          <w:highlight w:val="none"/>
        </w:rPr>
        <w:fldChar w:fldCharType="end"/>
      </w:r>
      <w:r>
        <w:rPr>
          <w:rFonts w:hint="eastAsia"/>
          <w:highlight w:val="none"/>
          <w:lang w:val="en-US" w:eastAsia="zh-CN"/>
        </w:rPr>
        <w:t>36</w:t>
      </w:r>
    </w:p>
    <w:p w14:paraId="7CF638B1">
      <w:pPr>
        <w:pStyle w:val="14"/>
        <w:tabs>
          <w:tab w:val="right" w:leader="dot" w:pos="8306"/>
        </w:tabs>
        <w:ind w:left="0" w:leftChars="0" w:firstLine="640" w:firstLineChars="200"/>
        <w:rPr>
          <w:rFonts w:hint="eastAsia" w:eastAsia="仿宋"/>
          <w:highlight w:val="none"/>
          <w:lang w:val="en-US" w:eastAsia="zh-CN"/>
        </w:rPr>
      </w:pPr>
      <w:r>
        <w:rPr>
          <w:highlight w:val="none"/>
        </w:rPr>
        <w:fldChar w:fldCharType="begin"/>
      </w:r>
      <w:r>
        <w:rPr>
          <w:highlight w:val="none"/>
        </w:rPr>
        <w:instrText xml:space="preserve"> HYPERLINK \l _Toc18280 </w:instrText>
      </w:r>
      <w:r>
        <w:rPr>
          <w:highlight w:val="none"/>
        </w:rPr>
        <w:fldChar w:fldCharType="separate"/>
      </w:r>
      <w:r>
        <w:rPr>
          <w:rFonts w:hint="eastAsia" w:ascii="黑体" w:hAnsi="黑体" w:eastAsia="黑体" w:cs="黑体"/>
          <w:bCs/>
          <w:kern w:val="2"/>
          <w:szCs w:val="32"/>
          <w:highlight w:val="none"/>
          <w:lang w:val="en-US" w:eastAsia="zh-CN" w:bidi="ar-SA"/>
        </w:rPr>
        <w:t>第二节 公共服务设施体系</w:t>
      </w:r>
      <w:r>
        <w:rPr>
          <w:highlight w:val="none"/>
        </w:rPr>
        <w:tab/>
      </w:r>
      <w:r>
        <w:rPr>
          <w:rFonts w:hint="eastAsia"/>
          <w:highlight w:val="none"/>
          <w:lang w:val="en-US" w:eastAsia="zh-CN"/>
        </w:rPr>
        <w:t>3</w:t>
      </w:r>
      <w:r>
        <w:rPr>
          <w:highlight w:val="none"/>
        </w:rPr>
        <w:fldChar w:fldCharType="end"/>
      </w:r>
      <w:r>
        <w:rPr>
          <w:rFonts w:hint="eastAsia"/>
          <w:highlight w:val="none"/>
          <w:lang w:val="en-US" w:eastAsia="zh-CN"/>
        </w:rPr>
        <w:t>7</w:t>
      </w:r>
    </w:p>
    <w:p w14:paraId="0E814405">
      <w:pPr>
        <w:pStyle w:val="13"/>
        <w:tabs>
          <w:tab w:val="right" w:leader="dot" w:pos="8306"/>
        </w:tabs>
        <w:ind w:left="0" w:leftChars="0" w:firstLine="0" w:firstLineChars="0"/>
        <w:rPr>
          <w:rFonts w:hint="eastAsia" w:eastAsia="仿宋"/>
          <w:highlight w:val="none"/>
          <w:lang w:val="en-US" w:eastAsia="zh-CN"/>
        </w:rPr>
      </w:pPr>
      <w:r>
        <w:rPr>
          <w:highlight w:val="none"/>
        </w:rPr>
        <w:fldChar w:fldCharType="begin"/>
      </w:r>
      <w:r>
        <w:rPr>
          <w:highlight w:val="none"/>
        </w:rPr>
        <w:instrText xml:space="preserve"> HYPERLINK \l _Toc1995 </w:instrText>
      </w:r>
      <w:r>
        <w:rPr>
          <w:highlight w:val="none"/>
        </w:rPr>
        <w:fldChar w:fldCharType="separate"/>
      </w:r>
      <w:r>
        <w:rPr>
          <w:rFonts w:hint="eastAsia" w:ascii="方正小标宋_GBK" w:hAnsi="方正小标宋_GBK" w:eastAsia="方正小标宋_GBK" w:cs="方正小标宋_GBK"/>
          <w:bCs w:val="0"/>
          <w:snapToGrid w:val="0"/>
          <w:spacing w:val="1"/>
          <w:kern w:val="0"/>
          <w:szCs w:val="36"/>
          <w:highlight w:val="none"/>
          <w:lang w:val="en-US" w:eastAsia="zh-CN"/>
        </w:rPr>
        <w:t>第八章 强化规划传导和实施保障</w:t>
      </w:r>
      <w:r>
        <w:rPr>
          <w:highlight w:val="none"/>
        </w:rPr>
        <w:tab/>
      </w:r>
      <w:r>
        <w:rPr>
          <w:rFonts w:hint="eastAsia"/>
          <w:highlight w:val="none"/>
          <w:lang w:val="en-US" w:eastAsia="zh-CN"/>
        </w:rPr>
        <w:t>4</w:t>
      </w:r>
      <w:r>
        <w:rPr>
          <w:highlight w:val="none"/>
        </w:rPr>
        <w:fldChar w:fldCharType="end"/>
      </w:r>
      <w:r>
        <w:rPr>
          <w:rFonts w:hint="eastAsia"/>
          <w:highlight w:val="none"/>
          <w:lang w:val="en-US" w:eastAsia="zh-CN"/>
        </w:rPr>
        <w:t>3</w:t>
      </w:r>
    </w:p>
    <w:p w14:paraId="3971AB3C">
      <w:pPr>
        <w:pStyle w:val="14"/>
        <w:tabs>
          <w:tab w:val="right" w:leader="dot" w:pos="8306"/>
        </w:tabs>
        <w:ind w:left="0" w:leftChars="0" w:firstLine="640" w:firstLineChars="200"/>
        <w:rPr>
          <w:rFonts w:hint="default" w:eastAsia="仿宋"/>
          <w:highlight w:val="none"/>
          <w:lang w:val="en-US" w:eastAsia="zh-CN"/>
        </w:rPr>
      </w:pPr>
      <w:r>
        <w:rPr>
          <w:highlight w:val="none"/>
        </w:rPr>
        <w:fldChar w:fldCharType="begin"/>
      </w:r>
      <w:r>
        <w:rPr>
          <w:highlight w:val="none"/>
        </w:rPr>
        <w:instrText xml:space="preserve"> HYPERLINK \l _Toc28887 </w:instrText>
      </w:r>
      <w:r>
        <w:rPr>
          <w:highlight w:val="none"/>
        </w:rPr>
        <w:fldChar w:fldCharType="separate"/>
      </w:r>
      <w:r>
        <w:rPr>
          <w:rFonts w:hint="eastAsia" w:ascii="黑体" w:hAnsi="黑体" w:eastAsia="黑体" w:cs="黑体"/>
          <w:bCs/>
          <w:kern w:val="2"/>
          <w:szCs w:val="32"/>
          <w:highlight w:val="none"/>
          <w:lang w:val="en-US" w:eastAsia="zh-CN" w:bidi="ar"/>
        </w:rPr>
        <w:t>第一节 规划传导与管控</w:t>
      </w:r>
      <w:r>
        <w:rPr>
          <w:highlight w:val="none"/>
        </w:rPr>
        <w:tab/>
      </w:r>
      <w:r>
        <w:rPr>
          <w:highlight w:val="none"/>
        </w:rPr>
        <w:fldChar w:fldCharType="end"/>
      </w:r>
      <w:r>
        <w:rPr>
          <w:rFonts w:hint="eastAsia"/>
          <w:highlight w:val="none"/>
          <w:lang w:val="en-US" w:eastAsia="zh-CN"/>
        </w:rPr>
        <w:t>43</w:t>
      </w:r>
    </w:p>
    <w:p w14:paraId="46620430">
      <w:pPr>
        <w:pStyle w:val="14"/>
        <w:tabs>
          <w:tab w:val="right" w:leader="dot" w:pos="8306"/>
        </w:tabs>
        <w:ind w:left="0" w:leftChars="0" w:firstLine="640" w:firstLineChars="200"/>
        <w:rPr>
          <w:rFonts w:hint="default" w:eastAsia="仿宋"/>
          <w:highlight w:val="none"/>
          <w:lang w:val="en-US" w:eastAsia="zh-CN"/>
        </w:rPr>
      </w:pPr>
      <w:r>
        <w:rPr>
          <w:highlight w:val="none"/>
        </w:rPr>
        <w:fldChar w:fldCharType="begin"/>
      </w:r>
      <w:r>
        <w:rPr>
          <w:highlight w:val="none"/>
        </w:rPr>
        <w:instrText xml:space="preserve"> HYPERLINK \l _Toc32394 </w:instrText>
      </w:r>
      <w:r>
        <w:rPr>
          <w:highlight w:val="none"/>
        </w:rPr>
        <w:fldChar w:fldCharType="separate"/>
      </w:r>
      <w:r>
        <w:rPr>
          <w:rFonts w:hint="eastAsia" w:ascii="黑体" w:hAnsi="黑体" w:eastAsia="黑体" w:cs="黑体"/>
          <w:bCs/>
          <w:kern w:val="2"/>
          <w:szCs w:val="32"/>
          <w:highlight w:val="none"/>
          <w:lang w:val="en-US" w:eastAsia="zh-CN" w:bidi="ar"/>
        </w:rPr>
        <w:t>第二节 规划实施</w:t>
      </w:r>
      <w:r>
        <w:rPr>
          <w:highlight w:val="none"/>
        </w:rPr>
        <w:tab/>
      </w:r>
      <w:r>
        <w:rPr>
          <w:highlight w:val="none"/>
        </w:rPr>
        <w:fldChar w:fldCharType="end"/>
      </w:r>
      <w:r>
        <w:rPr>
          <w:rFonts w:hint="eastAsia"/>
          <w:highlight w:val="none"/>
          <w:lang w:val="en-US" w:eastAsia="zh-CN"/>
        </w:rPr>
        <w:t>45</w:t>
      </w:r>
    </w:p>
    <w:p w14:paraId="5942485E">
      <w:pPr>
        <w:pStyle w:val="10"/>
        <w:tabs>
          <w:tab w:val="right" w:leader="dot" w:pos="8306"/>
        </w:tabs>
        <w:ind w:left="0" w:leftChars="0" w:firstLine="640" w:firstLineChars="200"/>
        <w:rPr>
          <w:rFonts w:hint="eastAsia" w:eastAsia="仿宋"/>
          <w:highlight w:val="none"/>
          <w:lang w:val="en-US" w:eastAsia="zh-CN"/>
        </w:rPr>
      </w:pPr>
      <w:r>
        <w:rPr>
          <w:highlight w:val="none"/>
        </w:rPr>
        <w:fldChar w:fldCharType="begin"/>
      </w:r>
      <w:r>
        <w:rPr>
          <w:highlight w:val="none"/>
        </w:rPr>
        <w:instrText xml:space="preserve"> HYPERLINK \l _Toc31319 </w:instrText>
      </w:r>
      <w:r>
        <w:rPr>
          <w:highlight w:val="none"/>
        </w:rPr>
        <w:fldChar w:fldCharType="separate"/>
      </w:r>
      <w:r>
        <w:rPr>
          <w:rFonts w:hint="eastAsia" w:ascii="黑体" w:hAnsi="黑体" w:eastAsia="黑体" w:cs="黑体"/>
          <w:bCs/>
          <w:kern w:val="2"/>
          <w:sz w:val="32"/>
          <w:szCs w:val="32"/>
          <w:highlight w:val="none"/>
          <w:lang w:val="en-US" w:eastAsia="zh-CN" w:bidi="ar"/>
        </w:rPr>
        <w:t>第三节 规划实施保障</w:t>
      </w:r>
      <w:r>
        <w:rPr>
          <w:highlight w:val="none"/>
        </w:rPr>
        <w:tab/>
      </w:r>
      <w:r>
        <w:rPr>
          <w:rFonts w:hint="eastAsia"/>
          <w:highlight w:val="none"/>
          <w:lang w:val="en-US" w:eastAsia="zh-CN"/>
        </w:rPr>
        <w:t>4</w:t>
      </w:r>
      <w:r>
        <w:rPr>
          <w:highlight w:val="none"/>
        </w:rPr>
        <w:fldChar w:fldCharType="end"/>
      </w:r>
      <w:r>
        <w:rPr>
          <w:rFonts w:hint="eastAsia"/>
          <w:highlight w:val="none"/>
          <w:lang w:val="en-US" w:eastAsia="zh-CN"/>
        </w:rPr>
        <w:t>5</w:t>
      </w:r>
    </w:p>
    <w:p w14:paraId="3B9268EA">
      <w:pPr>
        <w:pStyle w:val="13"/>
        <w:tabs>
          <w:tab w:val="right" w:leader="dot" w:pos="8306"/>
        </w:tabs>
        <w:ind w:left="0" w:leftChars="0" w:firstLine="640" w:firstLineChars="200"/>
        <w:rPr>
          <w:rFonts w:hint="eastAsia" w:eastAsia="仿宋"/>
          <w:highlight w:val="yellow"/>
          <w:lang w:val="en-US" w:eastAsia="zh-CN"/>
        </w:rPr>
      </w:pPr>
    </w:p>
    <w:p w14:paraId="0DD5073F">
      <w:pPr>
        <w:keepNext w:val="0"/>
        <w:keepLines w:val="0"/>
        <w:pageBreakBefore w:val="0"/>
        <w:widowControl/>
        <w:kinsoku w:val="0"/>
        <w:wordWrap/>
        <w:overflowPunct/>
        <w:topLinePunct w:val="0"/>
        <w:autoSpaceDE w:val="0"/>
        <w:autoSpaceDN w:val="0"/>
        <w:bidi w:val="0"/>
        <w:adjustRightInd w:val="0"/>
        <w:snapToGrid w:val="0"/>
        <w:spacing w:before="150" w:line="360" w:lineRule="auto"/>
        <w:ind w:firstLine="0" w:firstLineChars="0"/>
        <w:jc w:val="both"/>
        <w:textAlignment w:val="baseline"/>
        <w:rPr>
          <w:rFonts w:hint="eastAsia" w:ascii="仿宋" w:hAnsi="仿宋" w:eastAsia="仿宋" w:cs="仿宋"/>
          <w:kern w:val="2"/>
          <w:sz w:val="28"/>
          <w:szCs w:val="28"/>
          <w:highlight w:val="none"/>
          <w:lang w:val="en-US" w:eastAsia="zh-CN" w:bidi="ar-SA"/>
        </w:rPr>
        <w:sectPr>
          <w:pgSz w:w="11906" w:h="16838"/>
          <w:pgMar w:top="1440" w:right="1800" w:bottom="1440" w:left="1800" w:header="851" w:footer="992" w:gutter="0"/>
          <w:pgNumType w:start="1"/>
          <w:cols w:space="720" w:num="1"/>
          <w:docGrid w:type="lines" w:linePitch="312" w:charSpace="0"/>
        </w:sectPr>
      </w:pPr>
      <w:r>
        <w:rPr>
          <w:highlight w:val="none"/>
        </w:rPr>
        <w:fldChar w:fldCharType="end"/>
      </w:r>
    </w:p>
    <w:p w14:paraId="03B35206">
      <w:pPr>
        <w:keepNext w:val="0"/>
        <w:keepLines w:val="0"/>
        <w:pageBreakBefore w:val="0"/>
        <w:widowControl/>
        <w:kinsoku/>
        <w:wordWrap/>
        <w:overflowPunct/>
        <w:topLinePunct w:val="0"/>
        <w:autoSpaceDE/>
        <w:autoSpaceDN/>
        <w:bidi w:val="0"/>
        <w:adjustRightInd/>
        <w:snapToGrid/>
        <w:spacing w:line="600" w:lineRule="exact"/>
        <w:ind w:left="0" w:leftChars="0" w:firstLine="0" w:firstLineChars="0"/>
        <w:jc w:val="center"/>
        <w:textAlignment w:val="auto"/>
        <w:outlineLvl w:val="0"/>
        <w:rPr>
          <w:rFonts w:hint="default" w:ascii="方正小标宋_GBK" w:hAnsi="方正小标宋_GBK" w:eastAsia="方正小标宋_GBK" w:cs="方正小标宋_GBK"/>
          <w:b w:val="0"/>
          <w:bCs w:val="0"/>
          <w:snapToGrid w:val="0"/>
          <w:color w:val="000000"/>
          <w:spacing w:val="1"/>
          <w:kern w:val="0"/>
          <w:sz w:val="36"/>
          <w:szCs w:val="36"/>
          <w:highlight w:val="none"/>
          <w:lang w:val="en-US" w:eastAsia="zh-Hans"/>
        </w:rPr>
      </w:pPr>
      <w:bookmarkStart w:id="10" w:name="_Toc8835"/>
      <w:bookmarkStart w:id="11" w:name="_Toc4344"/>
      <w:bookmarkStart w:id="12" w:name="_Toc12701"/>
      <w:bookmarkStart w:id="13" w:name="_Toc978"/>
      <w:bookmarkStart w:id="14" w:name="_Toc30298"/>
      <w:bookmarkStart w:id="15" w:name="_Toc19365"/>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CN"/>
        </w:rPr>
        <w:t>第一章</w:t>
      </w:r>
      <w:bookmarkEnd w:id="10"/>
      <w:bookmarkEnd w:id="11"/>
      <w:bookmarkEnd w:id="12"/>
      <w:bookmarkEnd w:id="13"/>
      <w:bookmarkStart w:id="16" w:name="_Toc1509"/>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CN"/>
        </w:rPr>
        <w:t xml:space="preserve"> </w:t>
      </w:r>
      <w:bookmarkEnd w:id="14"/>
      <w:bookmarkEnd w:id="15"/>
      <w:bookmarkEnd w:id="16"/>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CN"/>
        </w:rPr>
        <w:t xml:space="preserve"> 总则</w:t>
      </w:r>
    </w:p>
    <w:p w14:paraId="16BFDD12">
      <w:pPr>
        <w:pStyle w:val="5"/>
        <w:pageBreakBefore w:val="0"/>
        <w:widowControl w:val="0"/>
        <w:wordWrap/>
        <w:overflowPunct/>
        <w:topLinePunct w:val="0"/>
        <w:autoSpaceDN/>
        <w:bidi w:val="0"/>
        <w:adjustRightInd/>
        <w:snapToGrid/>
        <w:spacing w:before="0" w:beforeAutospacing="0" w:after="0" w:afterAutospacing="0" w:line="600" w:lineRule="exact"/>
        <w:ind w:left="0" w:leftChars="0" w:firstLine="0" w:firstLineChars="0"/>
        <w:jc w:val="left"/>
        <w:textAlignment w:val="auto"/>
        <w:rPr>
          <w:rFonts w:hint="eastAsia" w:ascii="楷体" w:hAnsi="楷体" w:eastAsia="楷体" w:cs="楷体"/>
          <w:b w:val="0"/>
          <w:bCs w:val="0"/>
          <w:spacing w:val="-11"/>
          <w:sz w:val="32"/>
          <w:szCs w:val="32"/>
          <w:highlight w:val="none"/>
          <w:lang w:val="en-US" w:eastAsia="zh-CN"/>
        </w:rPr>
      </w:pPr>
      <w:bookmarkStart w:id="17" w:name="_Toc6692"/>
      <w:bookmarkStart w:id="18" w:name="_Toc17012"/>
      <w:bookmarkStart w:id="19" w:name="_Toc15946"/>
      <w:bookmarkStart w:id="20" w:name="_Toc18809"/>
      <w:bookmarkStart w:id="21" w:name="_Toc18307"/>
      <w:bookmarkStart w:id="22" w:name="_Toc639"/>
      <w:r>
        <w:rPr>
          <w:rFonts w:hint="eastAsia" w:ascii="楷体" w:hAnsi="楷体" w:eastAsia="楷体" w:cs="楷体"/>
          <w:b w:val="0"/>
          <w:bCs w:val="0"/>
          <w:spacing w:val="-11"/>
          <w:sz w:val="32"/>
          <w:szCs w:val="32"/>
          <w:highlight w:val="none"/>
          <w:lang w:val="en-US" w:eastAsia="zh-CN"/>
        </w:rPr>
        <w:t>第1条</w:t>
      </w:r>
      <w:r>
        <w:rPr>
          <w:rFonts w:hint="default" w:ascii="楷体" w:hAnsi="楷体" w:eastAsia="楷体" w:cs="楷体"/>
          <w:b w:val="0"/>
          <w:bCs w:val="0"/>
          <w:spacing w:val="-11"/>
          <w:sz w:val="32"/>
          <w:szCs w:val="32"/>
          <w:highlight w:val="none"/>
          <w:lang w:val="en-US" w:eastAsia="zh-CN"/>
        </w:rPr>
        <w:t xml:space="preserve"> </w:t>
      </w:r>
      <w:r>
        <w:rPr>
          <w:rFonts w:hint="eastAsia" w:ascii="楷体" w:hAnsi="楷体" w:eastAsia="楷体" w:cs="楷体"/>
          <w:b w:val="0"/>
          <w:bCs w:val="0"/>
          <w:spacing w:val="-11"/>
          <w:sz w:val="32"/>
          <w:szCs w:val="32"/>
          <w:highlight w:val="none"/>
          <w:lang w:val="en-US" w:eastAsia="zh-CN"/>
        </w:rPr>
        <w:t xml:space="preserve"> 规划目的</w:t>
      </w:r>
      <w:bookmarkEnd w:id="17"/>
      <w:bookmarkEnd w:id="18"/>
      <w:bookmarkEnd w:id="19"/>
      <w:bookmarkEnd w:id="20"/>
      <w:bookmarkEnd w:id="21"/>
      <w:bookmarkEnd w:id="22"/>
    </w:p>
    <w:p w14:paraId="1BA83D63">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为贯彻落实《中共中央国务院关于建立国土空间规划体系并监督实施的若干意见》（中发〔2019〕18号）、《自然资源部关于全面开展国土空间规划工作的通知》（自然资发〔2019〕87号）、《中共黑龙江省委黑龙江省人民政府关于建立全省国土空间规划体系并监督实施的意见》等文件精神，落实黑龙江省推进“六个龙江”“八个振兴”战略部署和绥化市委市政府、绥棱县委县政府工作要求，加快推进国土空间规划体系建设，充分发挥总体规划在国土空间规划体系中承上启下的作用，对绥棱县</w:t>
      </w:r>
      <w:r>
        <w:rPr>
          <w:rFonts w:hint="eastAsia" w:ascii="Times New Roman" w:hAnsi="Times New Roman" w:eastAsia="仿宋_GB2312" w:cs="Times New Roman"/>
          <w:kern w:val="2"/>
          <w:sz w:val="32"/>
          <w:szCs w:val="22"/>
          <w:highlight w:val="none"/>
          <w:lang w:val="en-US" w:eastAsia="zh-Hans" w:bidi="ar-SA"/>
          <w14:ligatures w14:val="none"/>
        </w:rPr>
        <w:t>泥尔</w:t>
      </w:r>
      <w:r>
        <w:rPr>
          <w:rFonts w:hint="eastAsia" w:ascii="Times New Roman" w:hAnsi="Times New Roman" w:eastAsia="仿宋_GB2312" w:cs="Times New Roman"/>
          <w:kern w:val="2"/>
          <w:sz w:val="32"/>
          <w:szCs w:val="22"/>
          <w:highlight w:val="none"/>
          <w:lang w:val="en-US" w:eastAsia="zh-CN" w:bidi="ar-SA"/>
          <w14:ligatures w14:val="none"/>
        </w:rPr>
        <w:t>河乡范围内国土空间开发保护做出总体安排和综合部署，指导城乡各类开发建设活动、开展国土空间资源保护利用与修复、制定空间发展政策和实施国土空间规划管理，特编制《</w:t>
      </w:r>
      <w:r>
        <w:rPr>
          <w:rFonts w:hint="eastAsia" w:ascii="Times New Roman" w:hAnsi="Times New Roman" w:eastAsia="仿宋_GB2312" w:cs="Times New Roman"/>
          <w:kern w:val="2"/>
          <w:sz w:val="32"/>
          <w:szCs w:val="22"/>
          <w:highlight w:val="none"/>
          <w:lang w:val="en-US" w:eastAsia="zh-Hans" w:bidi="ar-SA"/>
          <w14:ligatures w14:val="none"/>
        </w:rPr>
        <w:t>绥棱县泥尔</w:t>
      </w:r>
      <w:r>
        <w:rPr>
          <w:rFonts w:hint="eastAsia" w:ascii="Times New Roman" w:hAnsi="Times New Roman" w:eastAsia="仿宋_GB2312" w:cs="Times New Roman"/>
          <w:kern w:val="2"/>
          <w:sz w:val="32"/>
          <w:szCs w:val="22"/>
          <w:highlight w:val="none"/>
          <w:lang w:val="en-US" w:eastAsia="zh-CN" w:bidi="ar-SA"/>
          <w14:ligatures w14:val="none"/>
        </w:rPr>
        <w:t>河乡国土空间总体规划（2021-2035年）》（以下简称《规划》）。</w:t>
      </w:r>
    </w:p>
    <w:p w14:paraId="579B1EAE">
      <w:pPr>
        <w:pStyle w:val="5"/>
        <w:pageBreakBefore w:val="0"/>
        <w:widowControl w:val="0"/>
        <w:wordWrap/>
        <w:overflowPunct/>
        <w:topLinePunct w:val="0"/>
        <w:autoSpaceDN/>
        <w:bidi w:val="0"/>
        <w:adjustRightInd/>
        <w:snapToGrid/>
        <w:spacing w:before="0" w:beforeAutospacing="0" w:after="0" w:afterAutospacing="0" w:line="600" w:lineRule="exact"/>
        <w:ind w:left="0" w:leftChars="0" w:firstLine="0" w:firstLineChars="0"/>
        <w:jc w:val="left"/>
        <w:textAlignment w:val="auto"/>
        <w:rPr>
          <w:rFonts w:hint="eastAsia" w:ascii="楷体" w:hAnsi="楷体" w:eastAsia="楷体" w:cs="楷体"/>
          <w:b w:val="0"/>
          <w:bCs w:val="0"/>
          <w:spacing w:val="-11"/>
          <w:sz w:val="32"/>
          <w:szCs w:val="32"/>
          <w:highlight w:val="none"/>
          <w:lang w:val="en-US" w:eastAsia="zh-CN"/>
        </w:rPr>
      </w:pPr>
      <w:bookmarkStart w:id="23" w:name="_Toc6860"/>
      <w:bookmarkStart w:id="24" w:name="_Toc18669"/>
      <w:bookmarkStart w:id="25" w:name="_Toc18634"/>
      <w:bookmarkStart w:id="26" w:name="_Toc26013"/>
      <w:bookmarkStart w:id="27" w:name="_Toc27719"/>
      <w:bookmarkStart w:id="28" w:name="_Toc343"/>
      <w:r>
        <w:rPr>
          <w:rFonts w:hint="eastAsia" w:ascii="楷体" w:hAnsi="楷体" w:eastAsia="楷体" w:cs="楷体"/>
          <w:b w:val="0"/>
          <w:bCs w:val="0"/>
          <w:spacing w:val="-11"/>
          <w:sz w:val="32"/>
          <w:szCs w:val="32"/>
          <w:highlight w:val="none"/>
          <w:lang w:val="en-US" w:eastAsia="zh-CN"/>
        </w:rPr>
        <w:t>第2条</w:t>
      </w:r>
      <w:r>
        <w:rPr>
          <w:rFonts w:hint="default" w:ascii="楷体" w:hAnsi="楷体" w:eastAsia="楷体" w:cs="楷体"/>
          <w:b w:val="0"/>
          <w:bCs w:val="0"/>
          <w:spacing w:val="-11"/>
          <w:sz w:val="32"/>
          <w:szCs w:val="32"/>
          <w:highlight w:val="none"/>
          <w:lang w:val="en-US" w:eastAsia="zh-CN"/>
        </w:rPr>
        <w:t xml:space="preserve"> </w:t>
      </w:r>
      <w:r>
        <w:rPr>
          <w:rFonts w:hint="eastAsia" w:ascii="楷体" w:hAnsi="楷体" w:eastAsia="楷体" w:cs="楷体"/>
          <w:b w:val="0"/>
          <w:bCs w:val="0"/>
          <w:spacing w:val="-11"/>
          <w:sz w:val="32"/>
          <w:szCs w:val="32"/>
          <w:highlight w:val="none"/>
          <w:lang w:val="en-US" w:eastAsia="zh-CN"/>
        </w:rPr>
        <w:t xml:space="preserve"> 指导思想</w:t>
      </w:r>
      <w:bookmarkEnd w:id="23"/>
      <w:bookmarkEnd w:id="24"/>
      <w:bookmarkEnd w:id="25"/>
      <w:bookmarkEnd w:id="26"/>
      <w:bookmarkEnd w:id="27"/>
      <w:bookmarkEnd w:id="28"/>
      <w:r>
        <w:rPr>
          <w:rFonts w:hint="eastAsia" w:ascii="楷体" w:hAnsi="楷体" w:eastAsia="楷体" w:cs="楷体"/>
          <w:b w:val="0"/>
          <w:bCs w:val="0"/>
          <w:spacing w:val="-11"/>
          <w:sz w:val="32"/>
          <w:szCs w:val="32"/>
          <w:highlight w:val="none"/>
          <w:lang w:val="en-US" w:eastAsia="zh-CN"/>
        </w:rPr>
        <w:t xml:space="preserve"> </w:t>
      </w:r>
    </w:p>
    <w:p w14:paraId="0312B135">
      <w:pPr>
        <w:pStyle w:val="21"/>
        <w:pageBreakBefore w:val="0"/>
        <w:widowControl w:val="0"/>
        <w:wordWrap/>
        <w:overflowPunct/>
        <w:topLinePunct w:val="0"/>
        <w:autoSpaceDN/>
        <w:bidi w:val="0"/>
        <w:adjustRightInd/>
        <w:snapToGrid/>
        <w:spacing w:line="600" w:lineRule="exact"/>
        <w:ind w:firstLine="640" w:firstLineChars="200"/>
        <w:textAlignment w:val="auto"/>
        <w:rPr>
          <w:rFonts w:hint="eastAsia" w:ascii="仿宋" w:hAnsi="仿宋" w:cs="仿宋"/>
          <w:color w:val="000000"/>
          <w:kern w:val="0"/>
          <w:sz w:val="28"/>
          <w:highlight w:val="none"/>
          <w:lang w:eastAsia="zh-Hans" w:bidi="ar"/>
        </w:rPr>
      </w:pPr>
      <w:r>
        <w:rPr>
          <w:rFonts w:hint="eastAsia" w:ascii="Times New Roman" w:hAnsi="Times New Roman" w:eastAsia="仿宋_GB2312" w:cs="Times New Roman"/>
          <w:kern w:val="2"/>
          <w:sz w:val="32"/>
          <w:szCs w:val="22"/>
          <w:highlight w:val="none"/>
          <w:lang w:val="en-US" w:eastAsia="zh-Hans" w:bidi="ar-SA"/>
          <w14:ligatures w14:val="none"/>
        </w:rPr>
        <w:t>深入贯彻习近平新时代中国特色社会主义思想，全面贯彻党的十九大、</w:t>
      </w:r>
      <w:r>
        <w:rPr>
          <w:rFonts w:hint="eastAsia" w:ascii="Times New Roman" w:hAnsi="Times New Roman" w:eastAsia="仿宋_GB2312" w:cs="Times New Roman"/>
          <w:kern w:val="2"/>
          <w:sz w:val="32"/>
          <w:szCs w:val="22"/>
          <w:highlight w:val="none"/>
          <w:lang w:val="en-US" w:eastAsia="zh-CN" w:bidi="ar-SA"/>
          <w14:ligatures w14:val="none"/>
        </w:rPr>
        <w:t>二十大会议精神以及</w:t>
      </w:r>
      <w:r>
        <w:rPr>
          <w:rFonts w:hint="eastAsia" w:ascii="Times New Roman" w:hAnsi="Times New Roman" w:eastAsia="仿宋_GB2312" w:cs="Times New Roman"/>
          <w:kern w:val="2"/>
          <w:sz w:val="32"/>
          <w:szCs w:val="22"/>
          <w:highlight w:val="none"/>
          <w:lang w:val="en-US" w:eastAsia="zh-Hans" w:bidi="ar-SA"/>
          <w14:ligatures w14:val="none"/>
        </w:rPr>
        <w:t>习近平总书记系列重要讲话，紧紧围绕统筹推进“五位一体”总体布局和协调推进“四个全面”战略布局，落实绥化市、绥棱县重大决策部署，全面贯彻新发展理念，深入实施生态文明建设，坚持农业安全优先、生态保护优先，坚持以人民为中心，坚持一切从实际出发，推动高质量发展，打造高品质生活，实现高效能治理，为实现“两个一百年”奋斗目标，系统性谋划泥尔乡国土空间开发保护新格局，开启泥尔</w:t>
      </w:r>
      <w:r>
        <w:rPr>
          <w:rFonts w:hint="eastAsia" w:ascii="Times New Roman" w:hAnsi="Times New Roman" w:eastAsia="仿宋_GB2312" w:cs="Times New Roman"/>
          <w:kern w:val="2"/>
          <w:sz w:val="32"/>
          <w:szCs w:val="22"/>
          <w:highlight w:val="none"/>
          <w:lang w:val="en-US" w:eastAsia="zh-CN" w:bidi="ar-SA"/>
          <w14:ligatures w14:val="none"/>
        </w:rPr>
        <w:t>河</w:t>
      </w:r>
      <w:r>
        <w:rPr>
          <w:rFonts w:hint="eastAsia" w:ascii="Times New Roman" w:hAnsi="Times New Roman" w:eastAsia="仿宋_GB2312" w:cs="Times New Roman"/>
          <w:kern w:val="2"/>
          <w:sz w:val="32"/>
          <w:szCs w:val="22"/>
          <w:highlight w:val="none"/>
          <w:lang w:val="en-US" w:eastAsia="zh-Hans" w:bidi="ar-SA"/>
          <w14:ligatures w14:val="none"/>
        </w:rPr>
        <w:t>乡全面振兴全方位振兴新征程。</w:t>
      </w:r>
    </w:p>
    <w:p w14:paraId="2049D856">
      <w:pPr>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楷体" w:hAnsi="楷体" w:eastAsia="楷体" w:cs="楷体"/>
          <w:b w:val="0"/>
          <w:bCs w:val="0"/>
          <w:spacing w:val="-11"/>
          <w:sz w:val="32"/>
          <w:szCs w:val="32"/>
          <w:highlight w:val="none"/>
          <w:lang w:val="en-US" w:eastAsia="zh-CN"/>
        </w:rPr>
      </w:pPr>
      <w:r>
        <w:rPr>
          <w:rFonts w:hint="eastAsia" w:ascii="楷体" w:hAnsi="楷体" w:eastAsia="楷体" w:cs="楷体"/>
          <w:b w:val="0"/>
          <w:bCs w:val="0"/>
          <w:spacing w:val="-11"/>
          <w:sz w:val="32"/>
          <w:szCs w:val="32"/>
          <w:highlight w:val="none"/>
          <w:lang w:val="en-US" w:eastAsia="zh-CN"/>
        </w:rPr>
        <w:t>第3条</w:t>
      </w:r>
      <w:r>
        <w:rPr>
          <w:rFonts w:hint="default" w:ascii="楷体" w:hAnsi="楷体" w:eastAsia="楷体" w:cs="楷体"/>
          <w:b w:val="0"/>
          <w:bCs w:val="0"/>
          <w:spacing w:val="-11"/>
          <w:sz w:val="32"/>
          <w:szCs w:val="32"/>
          <w:highlight w:val="none"/>
          <w:lang w:val="en-US" w:eastAsia="zh-CN"/>
        </w:rPr>
        <w:t xml:space="preserve"> </w:t>
      </w:r>
      <w:r>
        <w:rPr>
          <w:rFonts w:hint="eastAsia" w:ascii="楷体" w:hAnsi="楷体" w:eastAsia="楷体" w:cs="楷体"/>
          <w:b w:val="0"/>
          <w:bCs w:val="0"/>
          <w:spacing w:val="-11"/>
          <w:sz w:val="32"/>
          <w:szCs w:val="32"/>
          <w:highlight w:val="none"/>
          <w:lang w:val="en-US" w:eastAsia="zh-CN"/>
        </w:rPr>
        <w:t xml:space="preserve"> 规划定位 </w:t>
      </w:r>
    </w:p>
    <w:p w14:paraId="2C2B5C01">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 w:hAnsi="仿宋" w:cs="仿宋"/>
          <w:color w:val="000000"/>
          <w:kern w:val="0"/>
          <w:sz w:val="28"/>
          <w:highlight w:val="none"/>
          <w:lang w:eastAsia="zh-Hans" w:bidi="ar"/>
        </w:rPr>
      </w:pPr>
      <w:r>
        <w:rPr>
          <w:rFonts w:hint="eastAsia" w:ascii="Times New Roman" w:hAnsi="Times New Roman" w:eastAsia="仿宋_GB2312" w:cs="Times New Roman"/>
          <w:kern w:val="2"/>
          <w:sz w:val="32"/>
          <w:szCs w:val="22"/>
          <w:highlight w:val="none"/>
          <w:lang w:val="en-US" w:eastAsia="zh-Hans" w:bidi="ar-SA"/>
          <w14:ligatures w14:val="none"/>
        </w:rPr>
        <w:t>乡镇级国土空间总体规划是对市级、县级国土空间总体规划要求的细化落实，是对乡镇域国土空间保护开发作出的具体安排，是乡镇进行空间治理的工具，是编制城镇开发边界内的详细规划和城镇开发边界外的村庄规划、实施国土空间用途管制的基本依据。</w:t>
      </w:r>
    </w:p>
    <w:p w14:paraId="0927A858">
      <w:pPr>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楷体" w:hAnsi="楷体" w:eastAsia="楷体" w:cs="楷体"/>
          <w:b w:val="0"/>
          <w:bCs w:val="0"/>
          <w:spacing w:val="-11"/>
          <w:sz w:val="32"/>
          <w:szCs w:val="32"/>
          <w:highlight w:val="none"/>
          <w:lang w:val="en-US" w:eastAsia="zh-CN"/>
        </w:rPr>
      </w:pPr>
      <w:bookmarkStart w:id="29" w:name="_Toc29825"/>
      <w:bookmarkStart w:id="30" w:name="_Toc28375"/>
      <w:bookmarkStart w:id="31" w:name="_Toc8511"/>
      <w:bookmarkStart w:id="32" w:name="_Toc18346"/>
      <w:bookmarkStart w:id="33" w:name="_Toc4394"/>
      <w:bookmarkStart w:id="34" w:name="_Toc22866"/>
      <w:r>
        <w:rPr>
          <w:rFonts w:hint="eastAsia" w:ascii="楷体" w:hAnsi="楷体" w:eastAsia="楷体" w:cs="楷体"/>
          <w:b w:val="0"/>
          <w:bCs w:val="0"/>
          <w:spacing w:val="-11"/>
          <w:sz w:val="32"/>
          <w:szCs w:val="32"/>
          <w:highlight w:val="none"/>
          <w:lang w:val="en-US" w:eastAsia="zh-CN"/>
        </w:rPr>
        <w:t>第4条</w:t>
      </w:r>
      <w:r>
        <w:rPr>
          <w:rFonts w:hint="default" w:ascii="楷体" w:hAnsi="楷体" w:eastAsia="楷体" w:cs="楷体"/>
          <w:b w:val="0"/>
          <w:bCs w:val="0"/>
          <w:spacing w:val="-11"/>
          <w:sz w:val="32"/>
          <w:szCs w:val="32"/>
          <w:highlight w:val="none"/>
          <w:lang w:val="en-US" w:eastAsia="zh-CN"/>
        </w:rPr>
        <w:t xml:space="preserve"> </w:t>
      </w:r>
      <w:r>
        <w:rPr>
          <w:rFonts w:hint="eastAsia" w:ascii="楷体" w:hAnsi="楷体" w:eastAsia="楷体" w:cs="楷体"/>
          <w:b w:val="0"/>
          <w:bCs w:val="0"/>
          <w:spacing w:val="-11"/>
          <w:sz w:val="32"/>
          <w:szCs w:val="32"/>
          <w:highlight w:val="none"/>
          <w:lang w:val="en-US" w:eastAsia="zh-CN"/>
        </w:rPr>
        <w:t xml:space="preserve"> 规划原则</w:t>
      </w:r>
      <w:bookmarkEnd w:id="29"/>
      <w:bookmarkEnd w:id="30"/>
      <w:bookmarkEnd w:id="31"/>
      <w:bookmarkEnd w:id="32"/>
      <w:bookmarkEnd w:id="33"/>
      <w:bookmarkEnd w:id="34"/>
      <w:r>
        <w:rPr>
          <w:rFonts w:hint="eastAsia" w:ascii="楷体" w:hAnsi="楷体" w:eastAsia="楷体" w:cs="楷体"/>
          <w:b w:val="0"/>
          <w:bCs w:val="0"/>
          <w:spacing w:val="-11"/>
          <w:sz w:val="32"/>
          <w:szCs w:val="32"/>
          <w:highlight w:val="none"/>
          <w:lang w:val="en-US" w:eastAsia="zh-CN"/>
        </w:rPr>
        <w:t xml:space="preserve"> </w:t>
      </w:r>
    </w:p>
    <w:p w14:paraId="3A5AA41E">
      <w:pPr>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highlight w:val="none"/>
          <w:lang w:bidi="ar"/>
        </w:rPr>
      </w:pPr>
      <w:bookmarkStart w:id="35" w:name="_Toc32114"/>
      <w:bookmarkStart w:id="36" w:name="_Toc28860"/>
      <w:bookmarkStart w:id="37" w:name="_Toc10638"/>
      <w:bookmarkStart w:id="38" w:name="_Toc18022"/>
      <w:bookmarkStart w:id="39" w:name="_Toc16992"/>
      <w:bookmarkStart w:id="40" w:name="_Toc22075"/>
      <w:r>
        <w:rPr>
          <w:rFonts w:hint="eastAsia" w:ascii="仿宋_GB2312" w:hAnsi="仿宋_GB2312" w:eastAsia="仿宋_GB2312" w:cs="仿宋_GB2312"/>
          <w:highlight w:val="none"/>
          <w:lang w:bidi="ar"/>
        </w:rPr>
        <w:t>坚持安全底线，绿色发展。落实市县总规划定的“三条控制线”，严守国防安全、</w:t>
      </w:r>
      <w:r>
        <w:rPr>
          <w:rFonts w:hint="eastAsia" w:ascii="仿宋_GB2312" w:hAnsi="仿宋_GB2312" w:eastAsia="仿宋_GB2312" w:cs="仿宋_GB2312"/>
          <w:bCs/>
          <w:highlight w:val="none"/>
        </w:rPr>
        <w:t>粮食安全、生态安全、能源安全、产业安全底线</w:t>
      </w:r>
      <w:r>
        <w:rPr>
          <w:rFonts w:hint="eastAsia" w:ascii="仿宋_GB2312" w:hAnsi="仿宋_GB2312" w:eastAsia="仿宋_GB2312" w:cs="仿宋_GB2312"/>
          <w:highlight w:val="none"/>
          <w:lang w:val="en-US" w:eastAsia="zh-CN" w:bidi="ar"/>
        </w:rPr>
        <w:t>。</w:t>
      </w:r>
    </w:p>
    <w:p w14:paraId="43E4F26D">
      <w:pPr>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highlight w:val="none"/>
          <w:lang w:bidi="ar"/>
        </w:rPr>
      </w:pPr>
      <w:r>
        <w:rPr>
          <w:rFonts w:hint="eastAsia" w:ascii="仿宋_GB2312" w:hAnsi="仿宋_GB2312" w:eastAsia="仿宋_GB2312" w:cs="仿宋_GB2312"/>
          <w:highlight w:val="none"/>
          <w:lang w:bidi="ar"/>
        </w:rPr>
        <w:t>坚持以人为本，品质提升。以人民为中心，处理好人与自然的和谐关系，实现城乡高质量发展、高品质生活。</w:t>
      </w:r>
    </w:p>
    <w:p w14:paraId="1224A2C3">
      <w:pPr>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highlight w:val="none"/>
          <w:lang w:bidi="ar"/>
        </w:rPr>
      </w:pPr>
      <w:r>
        <w:rPr>
          <w:rFonts w:hint="eastAsia" w:ascii="仿宋_GB2312" w:hAnsi="仿宋_GB2312" w:eastAsia="仿宋_GB2312" w:cs="仿宋_GB2312"/>
          <w:highlight w:val="none"/>
          <w:lang w:bidi="ar"/>
        </w:rPr>
        <w:t>坚持全域管控，适度集约。强化自然资源统筹利用和用途管控，探索控制城乡建设用地增量，盘活存量的内涵式发展路径，提高土地利用效率。</w:t>
      </w:r>
    </w:p>
    <w:p w14:paraId="493D4DE0">
      <w:pPr>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highlight w:val="none"/>
          <w:lang w:bidi="ar"/>
        </w:rPr>
      </w:pPr>
      <w:r>
        <w:rPr>
          <w:rFonts w:hint="eastAsia" w:ascii="仿宋_GB2312" w:hAnsi="仿宋_GB2312" w:eastAsia="仿宋_GB2312" w:cs="仿宋_GB2312"/>
          <w:highlight w:val="none"/>
          <w:lang w:bidi="ar"/>
        </w:rPr>
        <w:t>坚持承上启下，体现特色。严格落实市县总规下达的传导内容，并将本级约束性指标（除用水总量）分解至村庄，因地制宜体现黑土地保护、生态</w:t>
      </w:r>
      <w:r>
        <w:rPr>
          <w:rFonts w:hint="eastAsia" w:ascii="仿宋_GB2312" w:hAnsi="仿宋_GB2312" w:eastAsia="仿宋_GB2312" w:cs="仿宋_GB2312"/>
          <w:highlight w:val="none"/>
          <w:lang w:val="en-US" w:eastAsia="zh-CN" w:bidi="ar"/>
        </w:rPr>
        <w:t>环境</w:t>
      </w:r>
      <w:r>
        <w:rPr>
          <w:rFonts w:hint="eastAsia" w:ascii="仿宋_GB2312" w:hAnsi="仿宋_GB2312" w:eastAsia="仿宋_GB2312" w:cs="仿宋_GB2312"/>
          <w:highlight w:val="none"/>
          <w:lang w:bidi="ar"/>
        </w:rPr>
        <w:t>、能源安全、矿业经济、守边固边等特色。</w:t>
      </w:r>
    </w:p>
    <w:p w14:paraId="4A7C76F2">
      <w:pPr>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highlight w:val="none"/>
          <w:lang w:bidi="ar"/>
        </w:rPr>
      </w:pPr>
      <w:r>
        <w:rPr>
          <w:rFonts w:hint="eastAsia" w:ascii="仿宋_GB2312" w:hAnsi="仿宋_GB2312" w:eastAsia="仿宋_GB2312" w:cs="仿宋_GB2312"/>
          <w:highlight w:val="none"/>
          <w:lang w:bidi="ar"/>
        </w:rPr>
        <w:t>坚持侧重实施，突出近期。侧重对本行政区域开发保护作出具体安排，突出与国民经济和社会发展规划的衔接，保障近期项目实施。</w:t>
      </w:r>
    </w:p>
    <w:p w14:paraId="387ED9B5">
      <w:pPr>
        <w:keepNext/>
        <w:keepLines/>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1"/>
        <w:rPr>
          <w:rFonts w:hint="eastAsia" w:ascii="仿宋_GB2312" w:hAnsi="仿宋_GB2312" w:eastAsia="仿宋_GB2312" w:cs="仿宋_GB2312"/>
          <w:highlight w:val="none"/>
          <w:lang w:bidi="ar"/>
        </w:rPr>
      </w:pPr>
      <w:r>
        <w:rPr>
          <w:rFonts w:hint="eastAsia" w:ascii="仿宋_GB2312" w:hAnsi="仿宋_GB2312" w:eastAsia="仿宋_GB2312" w:cs="仿宋_GB2312"/>
          <w:highlight w:val="none"/>
          <w:lang w:bidi="ar"/>
        </w:rPr>
        <w:t>坚持公众参与，开放共享。广泛征求公众意见，开门编规划，保障公众的知情权、参与权和监督权。</w:t>
      </w:r>
    </w:p>
    <w:p w14:paraId="75B460B9">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eastAsia" w:ascii="楷体" w:hAnsi="楷体" w:eastAsia="楷体" w:cs="楷体"/>
          <w:b w:val="0"/>
          <w:bCs w:val="0"/>
          <w:spacing w:val="-11"/>
          <w:kern w:val="2"/>
          <w:sz w:val="32"/>
          <w:szCs w:val="32"/>
          <w:highlight w:val="none"/>
          <w:lang w:val="en-US" w:eastAsia="zh-CN" w:bidi="ar-SA"/>
        </w:rPr>
      </w:pPr>
      <w:r>
        <w:rPr>
          <w:rFonts w:hint="eastAsia" w:ascii="楷体" w:hAnsi="楷体" w:eastAsia="楷体" w:cs="楷体"/>
          <w:b w:val="0"/>
          <w:bCs w:val="0"/>
          <w:spacing w:val="-11"/>
          <w:kern w:val="2"/>
          <w:sz w:val="32"/>
          <w:szCs w:val="32"/>
          <w:highlight w:val="none"/>
          <w:lang w:val="en-US" w:eastAsia="zh-CN" w:bidi="ar-SA"/>
        </w:rPr>
        <w:t>第5条</w:t>
      </w:r>
      <w:r>
        <w:rPr>
          <w:rFonts w:hint="default" w:ascii="楷体" w:hAnsi="楷体" w:eastAsia="楷体" w:cs="楷体"/>
          <w:b w:val="0"/>
          <w:bCs w:val="0"/>
          <w:spacing w:val="-11"/>
          <w:kern w:val="2"/>
          <w:sz w:val="32"/>
          <w:szCs w:val="32"/>
          <w:highlight w:val="none"/>
          <w:lang w:val="en-US" w:eastAsia="zh-CN" w:bidi="ar-SA"/>
        </w:rPr>
        <w:t xml:space="preserve"> </w:t>
      </w:r>
      <w:r>
        <w:rPr>
          <w:rFonts w:hint="eastAsia" w:ascii="楷体" w:hAnsi="楷体" w:eastAsia="楷体" w:cs="楷体"/>
          <w:b w:val="0"/>
          <w:bCs w:val="0"/>
          <w:spacing w:val="-11"/>
          <w:kern w:val="2"/>
          <w:sz w:val="32"/>
          <w:szCs w:val="32"/>
          <w:highlight w:val="none"/>
          <w:lang w:val="en-US" w:eastAsia="zh-CN" w:bidi="ar-SA"/>
        </w:rPr>
        <w:t xml:space="preserve"> 规划范围与层次</w:t>
      </w:r>
      <w:bookmarkEnd w:id="35"/>
      <w:bookmarkEnd w:id="36"/>
      <w:bookmarkEnd w:id="37"/>
      <w:bookmarkEnd w:id="38"/>
      <w:bookmarkEnd w:id="39"/>
      <w:bookmarkEnd w:id="40"/>
    </w:p>
    <w:p w14:paraId="404B16B9">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规划层次分为乡域和乡政府驻地两个空间层次，乡域包括</w:t>
      </w:r>
      <w:r>
        <w:rPr>
          <w:rFonts w:hint="default" w:ascii="Times New Roman" w:hAnsi="Times New Roman" w:eastAsia="仿宋_GB2312" w:cs="Times New Roman"/>
          <w:kern w:val="2"/>
          <w:sz w:val="32"/>
          <w:szCs w:val="22"/>
          <w:highlight w:val="none"/>
          <w:lang w:val="en-US" w:eastAsia="zh-CN" w:bidi="ar-SA"/>
          <w14:ligatures w14:val="none"/>
        </w:rPr>
        <w:t>8</w:t>
      </w:r>
      <w:r>
        <w:rPr>
          <w:rFonts w:hint="eastAsia" w:ascii="Times New Roman" w:hAnsi="Times New Roman" w:eastAsia="仿宋_GB2312" w:cs="Times New Roman"/>
          <w:kern w:val="2"/>
          <w:sz w:val="32"/>
          <w:szCs w:val="22"/>
          <w:highlight w:val="none"/>
          <w:lang w:val="en-US" w:eastAsia="zh-CN" w:bidi="ar-SA"/>
          <w14:ligatures w14:val="none"/>
        </w:rPr>
        <w:t>个村全部行政辖区范围，即跃进村、抚北村、勇敢村、青山村、进军村（乡政府驻地）、卫星村、永发村、双丰村，重点统筹全域全要素规划管理，侧重全乡国土空间开发保护的战略部署和总体格局，并对各村提出发展指引。乡政府驻地是指</w:t>
      </w:r>
      <w:r>
        <w:rPr>
          <w:rFonts w:hint="eastAsia" w:ascii="Times New Roman" w:hAnsi="Times New Roman" w:eastAsia="仿宋_GB2312" w:cs="Times New Roman"/>
          <w:kern w:val="2"/>
          <w:sz w:val="32"/>
          <w:szCs w:val="22"/>
          <w:highlight w:val="none"/>
          <w:lang w:val="en-US" w:eastAsia="zh-Hans" w:bidi="ar-SA"/>
          <w14:ligatures w14:val="none"/>
        </w:rPr>
        <w:t>泥尔河乡</w:t>
      </w:r>
      <w:r>
        <w:rPr>
          <w:rFonts w:hint="eastAsia" w:ascii="Times New Roman" w:hAnsi="Times New Roman" w:eastAsia="仿宋_GB2312" w:cs="Times New Roman"/>
          <w:kern w:val="2"/>
          <w:sz w:val="32"/>
          <w:szCs w:val="22"/>
          <w:highlight w:val="none"/>
          <w:lang w:val="en-US" w:eastAsia="zh-CN" w:bidi="ar-SA"/>
          <w14:ligatures w14:val="none"/>
        </w:rPr>
        <w:t>政府驻地集中建设区域，重点细化土地使用和空间布局，侧重功能完善和结构优化。</w:t>
      </w:r>
    </w:p>
    <w:p w14:paraId="3EF0ECC6">
      <w:pPr>
        <w:pStyle w:val="5"/>
        <w:keepNext/>
        <w:keepLines/>
        <w:pageBreakBefore w:val="0"/>
        <w:widowControl w:val="0"/>
        <w:kinsoku/>
        <w:wordWrap/>
        <w:overflowPunct/>
        <w:topLinePunct w:val="0"/>
        <w:autoSpaceDE/>
        <w:autoSpaceDN/>
        <w:bidi w:val="0"/>
        <w:adjustRightInd/>
        <w:snapToGrid/>
        <w:spacing w:before="0" w:after="0" w:line="600" w:lineRule="exact"/>
        <w:ind w:left="0" w:leftChars="0" w:firstLine="0" w:firstLineChars="0"/>
        <w:textAlignment w:val="auto"/>
        <w:rPr>
          <w:rFonts w:hint="default" w:ascii="楷体" w:hAnsi="楷体" w:eastAsia="楷体" w:cs="楷体"/>
          <w:b w:val="0"/>
          <w:snapToGrid w:val="0"/>
          <w:color w:val="000000"/>
          <w:spacing w:val="-2"/>
          <w:kern w:val="0"/>
          <w:sz w:val="32"/>
          <w:szCs w:val="32"/>
          <w:highlight w:val="none"/>
          <w:lang w:val="en-US" w:eastAsia="zh-CN" w:bidi="ar-SA"/>
        </w:rPr>
      </w:pPr>
      <w:bookmarkStart w:id="41" w:name="_Toc30677"/>
      <w:bookmarkStart w:id="42" w:name="_Toc17857"/>
      <w:bookmarkStart w:id="43" w:name="_Toc25518"/>
      <w:bookmarkStart w:id="44" w:name="_Toc5201"/>
      <w:bookmarkStart w:id="45" w:name="_Toc8881"/>
      <w:bookmarkStart w:id="46" w:name="_Toc27889"/>
      <w:r>
        <w:rPr>
          <w:rFonts w:hint="eastAsia" w:ascii="楷体" w:hAnsi="楷体" w:eastAsia="楷体" w:cs="楷体"/>
          <w:b w:val="0"/>
          <w:bCs w:val="0"/>
          <w:spacing w:val="-11"/>
          <w:sz w:val="32"/>
          <w:szCs w:val="32"/>
          <w:highlight w:val="none"/>
        </w:rPr>
        <w:t>第</w:t>
      </w:r>
      <w:r>
        <w:rPr>
          <w:rFonts w:hint="eastAsia" w:ascii="楷体" w:hAnsi="楷体" w:eastAsia="楷体" w:cs="楷体"/>
          <w:b w:val="0"/>
          <w:bCs w:val="0"/>
          <w:spacing w:val="-11"/>
          <w:sz w:val="32"/>
          <w:szCs w:val="32"/>
          <w:highlight w:val="none"/>
          <w:lang w:val="en-US" w:eastAsia="zh-CN"/>
        </w:rPr>
        <w:t>6</w:t>
      </w:r>
      <w:r>
        <w:rPr>
          <w:rFonts w:hint="eastAsia" w:ascii="楷体" w:hAnsi="楷体" w:eastAsia="楷体" w:cs="楷体"/>
          <w:b w:val="0"/>
          <w:bCs w:val="0"/>
          <w:spacing w:val="-11"/>
          <w:sz w:val="32"/>
          <w:szCs w:val="32"/>
          <w:highlight w:val="none"/>
        </w:rPr>
        <w:t>条</w:t>
      </w:r>
      <w:r>
        <w:rPr>
          <w:rFonts w:hint="eastAsia" w:ascii="楷体" w:hAnsi="楷体" w:eastAsia="楷体" w:cs="楷体"/>
          <w:b w:val="0"/>
          <w:bCs w:val="0"/>
          <w:spacing w:val="-11"/>
          <w:sz w:val="32"/>
          <w:szCs w:val="32"/>
          <w:highlight w:val="none"/>
          <w:lang w:val="en-US" w:eastAsia="zh-CN"/>
        </w:rPr>
        <w:t xml:space="preserve">  规划期限</w:t>
      </w:r>
    </w:p>
    <w:p w14:paraId="23EAF7CA">
      <w:pPr>
        <w:keepNext/>
        <w:keepLines/>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本轮规划基期年为2020年，规划期限为2021—2035年，远景展望至2050年</w:t>
      </w:r>
      <w:r>
        <w:rPr>
          <w:rFonts w:hint="eastAsia" w:ascii="Times New Roman" w:hAnsi="Times New Roman" w:eastAsia="仿宋_GB2312" w:cs="Times New Roman"/>
          <w:kern w:val="2"/>
          <w:sz w:val="32"/>
          <w:szCs w:val="22"/>
          <w:highlight w:val="none"/>
          <w:lang w:val="en-US" w:eastAsia="zh-CN" w:bidi="ar-SA"/>
          <w14:ligatures w14:val="none"/>
        </w:rPr>
        <w:t>。</w:t>
      </w:r>
    </w:p>
    <w:p w14:paraId="7A12576A">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eastAsia" w:ascii="楷体" w:hAnsi="楷体" w:eastAsia="楷体" w:cs="楷体"/>
          <w:b w:val="0"/>
          <w:bCs w:val="0"/>
          <w:spacing w:val="-11"/>
          <w:kern w:val="2"/>
          <w:sz w:val="32"/>
          <w:szCs w:val="32"/>
          <w:highlight w:val="none"/>
          <w:lang w:val="en-US" w:eastAsia="zh-CN" w:bidi="ar-SA"/>
        </w:rPr>
      </w:pPr>
      <w:r>
        <w:rPr>
          <w:rFonts w:hint="eastAsia" w:ascii="楷体" w:hAnsi="楷体" w:eastAsia="楷体" w:cs="楷体"/>
          <w:b w:val="0"/>
          <w:bCs w:val="0"/>
          <w:spacing w:val="-11"/>
          <w:kern w:val="2"/>
          <w:sz w:val="32"/>
          <w:szCs w:val="32"/>
          <w:highlight w:val="none"/>
          <w:lang w:val="en-US" w:eastAsia="zh-CN" w:bidi="ar-SA"/>
        </w:rPr>
        <w:t>第7条  规划效力</w:t>
      </w:r>
      <w:bookmarkEnd w:id="41"/>
      <w:bookmarkEnd w:id="42"/>
      <w:bookmarkEnd w:id="43"/>
      <w:bookmarkEnd w:id="44"/>
      <w:bookmarkEnd w:id="45"/>
      <w:bookmarkEnd w:id="46"/>
    </w:p>
    <w:p w14:paraId="0A7230C4">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本规划自绥化市人民政府批复之日起生效，由泥尔河乡人民政府组织实施，任何单位和个人不得违反和擅自改变。因国家重大战略和重大政策调整等确需修改规划的，须按法定程序进行修改。</w:t>
      </w:r>
    </w:p>
    <w:p w14:paraId="68BC2257">
      <w:pPr>
        <w:pageBreakBefore w:val="0"/>
        <w:wordWrap/>
        <w:overflowPunct/>
        <w:topLinePunct w:val="0"/>
        <w:bidi w:val="0"/>
        <w:spacing w:line="360" w:lineRule="auto"/>
        <w:outlineLvl w:val="9"/>
        <w:rPr>
          <w:rFonts w:hint="eastAsia"/>
          <w:highlight w:val="none"/>
          <w:u w:val="none"/>
        </w:rPr>
      </w:pPr>
      <w:r>
        <w:rPr>
          <w:rFonts w:hint="eastAsia" w:ascii="Times New Roman" w:hAnsi="Times New Roman" w:eastAsia="仿宋_GB2312" w:cs="Times New Roman"/>
          <w:kern w:val="2"/>
          <w:sz w:val="32"/>
          <w:szCs w:val="22"/>
          <w:highlight w:val="none"/>
          <w:lang w:val="en-US" w:eastAsia="zh-CN" w:bidi="ar-SA"/>
          <w14:ligatures w14:val="none"/>
        </w:rPr>
        <w:t>文本条文中</w:t>
      </w:r>
      <w:r>
        <w:rPr>
          <w:rFonts w:hint="eastAsia" w:ascii="Times New Roman" w:hAnsi="Times New Roman" w:eastAsia="仿宋_GB2312" w:cs="Times New Roman"/>
          <w:kern w:val="2"/>
          <w:sz w:val="32"/>
          <w:szCs w:val="22"/>
          <w:highlight w:val="none"/>
          <w:u w:val="single"/>
          <w:lang w:val="en-US" w:eastAsia="zh-CN" w:bidi="ar-SA"/>
          <w14:ligatures w14:val="none"/>
        </w:rPr>
        <w:t>下划线</w:t>
      </w:r>
      <w:r>
        <w:rPr>
          <w:rFonts w:hint="eastAsia" w:ascii="Times New Roman" w:hAnsi="Times New Roman" w:eastAsia="仿宋_GB2312" w:cs="Times New Roman"/>
          <w:kern w:val="2"/>
          <w:sz w:val="32"/>
          <w:szCs w:val="22"/>
          <w:highlight w:val="none"/>
          <w:lang w:val="en-US" w:eastAsia="zh-CN" w:bidi="ar-SA"/>
          <w14:ligatures w14:val="none"/>
        </w:rPr>
        <w:t>部分、规划附表中约束性指标和分解指标均为规划的强制性内容。</w:t>
      </w:r>
      <w:r>
        <w:rPr>
          <w:rFonts w:hint="eastAsia" w:ascii="仿宋" w:hAnsi="仿宋" w:cs="仿宋"/>
          <w:color w:val="000000"/>
          <w:kern w:val="0"/>
          <w:sz w:val="28"/>
          <w:szCs w:val="28"/>
          <w:highlight w:val="none"/>
          <w:u w:val="single"/>
          <w:lang w:bidi="ar"/>
        </w:rPr>
        <w:br w:type="page"/>
      </w:r>
    </w:p>
    <w:p w14:paraId="78C50C06">
      <w:pPr>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Hans"/>
        </w:rPr>
      </w:pPr>
      <w:bookmarkStart w:id="47" w:name="_Toc10109"/>
      <w:bookmarkStart w:id="48" w:name="_Toc15971"/>
      <w:bookmarkStart w:id="49" w:name="_Toc21984"/>
      <w:bookmarkStart w:id="50" w:name="_Toc14190"/>
      <w:bookmarkStart w:id="51" w:name="_Toc787505037"/>
      <w:bookmarkStart w:id="52" w:name="_Toc139980935"/>
      <w:bookmarkStart w:id="53" w:name="_Toc15658"/>
      <w:bookmarkStart w:id="54" w:name="_Toc6439"/>
      <w:bookmarkStart w:id="55" w:name="_Toc29224"/>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Hans"/>
        </w:rPr>
        <w:t>第二章</w:t>
      </w:r>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CN"/>
        </w:rPr>
        <w:t xml:space="preserve">  </w:t>
      </w:r>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Hans"/>
        </w:rPr>
        <w:t>现状基础与风险识别</w:t>
      </w:r>
      <w:bookmarkEnd w:id="47"/>
      <w:bookmarkEnd w:id="48"/>
      <w:bookmarkEnd w:id="49"/>
      <w:bookmarkEnd w:id="50"/>
      <w:bookmarkEnd w:id="51"/>
      <w:bookmarkEnd w:id="52"/>
      <w:bookmarkEnd w:id="53"/>
      <w:bookmarkEnd w:id="54"/>
      <w:bookmarkEnd w:id="55"/>
    </w:p>
    <w:p w14:paraId="3C6B477A">
      <w:pPr>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outlineLvl w:val="0"/>
        <w:rPr>
          <w:rFonts w:hint="default" w:ascii="黑体" w:hAnsi="黑体" w:eastAsia="黑体" w:cs="黑体"/>
          <w:b w:val="0"/>
          <w:bCs w:val="0"/>
          <w:snapToGrid w:val="0"/>
          <w:color w:val="000000"/>
          <w:spacing w:val="1"/>
          <w:kern w:val="0"/>
          <w:sz w:val="32"/>
          <w:szCs w:val="32"/>
          <w:highlight w:val="none"/>
          <w:lang w:val="en-US" w:eastAsia="zh-CN"/>
        </w:rPr>
      </w:pPr>
      <w:bookmarkStart w:id="56" w:name="_Toc9043"/>
      <w:bookmarkStart w:id="57" w:name="_Toc28274"/>
      <w:bookmarkStart w:id="58" w:name="_Toc10100"/>
      <w:r>
        <w:rPr>
          <w:rFonts w:hint="eastAsia" w:ascii="黑体" w:hAnsi="黑体" w:eastAsia="黑体" w:cs="黑体"/>
          <w:b w:val="0"/>
          <w:bCs w:val="0"/>
          <w:snapToGrid w:val="0"/>
          <w:color w:val="000000"/>
          <w:spacing w:val="1"/>
          <w:kern w:val="0"/>
          <w:sz w:val="32"/>
          <w:szCs w:val="32"/>
          <w:highlight w:val="none"/>
          <w:lang w:val="en-US" w:eastAsia="zh-CN"/>
        </w:rPr>
        <w:t xml:space="preserve">第一节 </w:t>
      </w:r>
      <w:bookmarkEnd w:id="56"/>
      <w:r>
        <w:rPr>
          <w:rFonts w:hint="eastAsia" w:ascii="黑体" w:hAnsi="黑体" w:eastAsia="黑体" w:cs="黑体"/>
          <w:b w:val="0"/>
          <w:bCs w:val="0"/>
          <w:snapToGrid w:val="0"/>
          <w:color w:val="000000"/>
          <w:spacing w:val="1"/>
          <w:kern w:val="0"/>
          <w:sz w:val="32"/>
          <w:szCs w:val="32"/>
          <w:highlight w:val="none"/>
          <w:lang w:val="en-US" w:eastAsia="zh-CN"/>
        </w:rPr>
        <w:t xml:space="preserve"> 现状特征与主要问题</w:t>
      </w:r>
    </w:p>
    <w:p w14:paraId="3CCF8721">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eastAsia" w:ascii="楷体" w:hAnsi="楷体" w:eastAsia="楷体" w:cs="楷体"/>
          <w:b w:val="0"/>
          <w:bCs w:val="0"/>
          <w:snapToGrid w:val="0"/>
          <w:color w:val="000000"/>
          <w:spacing w:val="-11"/>
          <w:kern w:val="0"/>
          <w:sz w:val="32"/>
          <w:szCs w:val="32"/>
          <w:highlight w:val="none"/>
          <w:lang w:val="en-US" w:eastAsia="zh-CN"/>
        </w:rPr>
      </w:pPr>
      <w:bookmarkStart w:id="59" w:name="_Toc7311"/>
      <w:bookmarkStart w:id="60" w:name="_Toc19797"/>
      <w:bookmarkStart w:id="61" w:name="_Toc6578"/>
      <w:r>
        <w:rPr>
          <w:rFonts w:hint="eastAsia" w:ascii="楷体" w:hAnsi="楷体" w:eastAsia="楷体" w:cs="楷体"/>
          <w:b w:val="0"/>
          <w:bCs w:val="0"/>
          <w:snapToGrid w:val="0"/>
          <w:color w:val="000000"/>
          <w:spacing w:val="-11"/>
          <w:kern w:val="0"/>
          <w:sz w:val="32"/>
          <w:szCs w:val="32"/>
          <w:highlight w:val="none"/>
          <w:lang w:val="en-US" w:eastAsia="zh-CN"/>
        </w:rPr>
        <w:t xml:space="preserve">第8条  </w:t>
      </w:r>
      <w:bookmarkEnd w:id="59"/>
      <w:bookmarkEnd w:id="60"/>
      <w:bookmarkEnd w:id="61"/>
      <w:r>
        <w:rPr>
          <w:rFonts w:hint="eastAsia" w:ascii="楷体" w:hAnsi="楷体" w:eastAsia="楷体" w:cs="楷体"/>
          <w:b w:val="0"/>
          <w:bCs w:val="0"/>
          <w:snapToGrid w:val="0"/>
          <w:color w:val="000000"/>
          <w:spacing w:val="-11"/>
          <w:kern w:val="0"/>
          <w:sz w:val="32"/>
          <w:szCs w:val="32"/>
          <w:highlight w:val="none"/>
          <w:lang w:val="en-US" w:eastAsia="zh-CN"/>
        </w:rPr>
        <w:t>现状概况</w:t>
      </w:r>
    </w:p>
    <w:p w14:paraId="09CA1417">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位于绥棱县东南部。东经127°12'至127°27'，北纬47°2'至47°10'之间,东与庆安县接壤；南与绥化市北林区三河镇接壤；西与绥化市北林区三井乡隔努敏河相望；北与上集镇相连。乡政府驻地位于进军村，距县城约30公里。</w:t>
      </w:r>
    </w:p>
    <w:p w14:paraId="103AA133">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eastAsia"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 xml:space="preserve">第9条  现状特征 </w:t>
      </w:r>
    </w:p>
    <w:p w14:paraId="37064537">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eastAsia" w:ascii="仿宋" w:hAnsi="仿宋" w:eastAsia="仿宋" w:cs="仿宋"/>
          <w:b/>
          <w:bCs/>
          <w:color w:val="000000"/>
          <w:kern w:val="0"/>
          <w:sz w:val="28"/>
          <w:szCs w:val="28"/>
          <w:highlight w:val="none"/>
          <w:lang w:val="en-US" w:eastAsia="zh-CN" w:bidi="ar"/>
        </w:rPr>
      </w:pPr>
      <w:r>
        <w:rPr>
          <w:rFonts w:hint="eastAsia" w:ascii="Times New Roman" w:hAnsi="Times New Roman" w:eastAsia="仿宋_GB2312" w:cs="Times New Roman"/>
          <w:kern w:val="2"/>
          <w:sz w:val="32"/>
          <w:szCs w:val="22"/>
          <w:highlight w:val="none"/>
          <w:lang w:val="en-US" w:eastAsia="zh-CN" w:bidi="ar-SA"/>
          <w14:ligatures w14:val="none"/>
        </w:rPr>
        <w:t>1、地质地貌</w:t>
      </w:r>
    </w:p>
    <w:p w14:paraId="0FA597CD">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地处小兴安岭南麓，在大地构造上属于松嫩平原东北部冲积洪积台地，由白垩纪嫩江组泥岩、页岩、粉质砂岩组成，上覆第四系黄土状亚黏土，基岩石裸露甚微。地貌以平原为特征，地势平坦开阔，地形起伏平缓，一般海拔在173—225米。</w:t>
      </w:r>
    </w:p>
    <w:p w14:paraId="0C7331DE">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2、水文条件</w:t>
      </w:r>
    </w:p>
    <w:p w14:paraId="7B311B28">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泥尔河乡内东有墨尔根河，流经境内双丰、永发、卫星3个村，长8.5千米，流域面积33公顷，年均流量50立方米/秒；西有努敏河，流经境内跃进、勇敢2个村，长8千米，年均流量200立方米/秒。二者都属呼兰河水系。</w:t>
      </w:r>
    </w:p>
    <w:p w14:paraId="77C0030B">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3、气候条件</w:t>
      </w:r>
    </w:p>
    <w:p w14:paraId="41502361">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 xml:space="preserve">泥尔河乡地处温带季风气候。春季多风干旱，平均气温5℃左右；夏季受到热带海洋气团的影响，温和多雨；秋季降温急剧，常有霜冻，年平均气温在10℃左右；冬季在极地大陆气团控制下，受西伯利亚寒流的影响，寒冷干燥。 </w:t>
      </w:r>
    </w:p>
    <w:p w14:paraId="1AFF023F">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4、土壤条件</w:t>
      </w:r>
    </w:p>
    <w:p w14:paraId="00C7BA54">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泥尔河乡地带性土壤主要为黑土、泥炭土、草甸土。主要以黑土为主，土壤中腐殖质含量较高，土壤肥沃，土壤条件较好。</w:t>
      </w:r>
    </w:p>
    <w:bookmarkEnd w:id="57"/>
    <w:bookmarkEnd w:id="58"/>
    <w:p w14:paraId="43FED860">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default" w:ascii="楷体" w:hAnsi="楷体" w:eastAsia="楷体" w:cs="楷体"/>
          <w:b w:val="0"/>
          <w:bCs w:val="0"/>
          <w:snapToGrid w:val="0"/>
          <w:color w:val="000000"/>
          <w:spacing w:val="-11"/>
          <w:kern w:val="0"/>
          <w:sz w:val="32"/>
          <w:szCs w:val="32"/>
          <w:highlight w:val="none"/>
          <w:lang w:val="en-US" w:eastAsia="zh-CN"/>
        </w:rPr>
      </w:pPr>
      <w:bookmarkStart w:id="62" w:name="_Toc25729"/>
      <w:r>
        <w:rPr>
          <w:rFonts w:hint="eastAsia" w:ascii="楷体" w:hAnsi="楷体" w:eastAsia="楷体" w:cs="楷体"/>
          <w:b w:val="0"/>
          <w:bCs w:val="0"/>
          <w:snapToGrid w:val="0"/>
          <w:color w:val="000000"/>
          <w:spacing w:val="-11"/>
          <w:kern w:val="0"/>
          <w:sz w:val="32"/>
          <w:szCs w:val="32"/>
          <w:highlight w:val="none"/>
          <w:lang w:val="en-US" w:eastAsia="zh-CN"/>
        </w:rPr>
        <w:t>第10条  核心问题</w:t>
      </w:r>
    </w:p>
    <w:p w14:paraId="64FF1F29">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1、全乡人口总量负增长</w:t>
      </w:r>
    </w:p>
    <w:p w14:paraId="1BFE1006">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 xml:space="preserve">随着人口的大量外流，形成了本地劳动力和人才流失的现象，特别是空心化、老龄化、空巢化等问题较为突出。缺少一个有影响力的发展极核，呈无序发展状态。 </w:t>
      </w:r>
    </w:p>
    <w:p w14:paraId="13A8F80C">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2、全乡产业结构单一</w:t>
      </w:r>
    </w:p>
    <w:p w14:paraId="34C417F3">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Chars="0" w:firstLine="640" w:firstLineChars="200"/>
        <w:jc w:val="left"/>
        <w:textAlignment w:val="auto"/>
        <w:rPr>
          <w:rFonts w:hint="eastAsia" w:ascii="Times New Roman" w:hAnsi="Times New Roman" w:eastAsia="仿宋_GB2312" w:cs="Times New Roman"/>
          <w:kern w:val="2"/>
          <w:sz w:val="32"/>
          <w:szCs w:val="22"/>
          <w:highlight w:val="none"/>
          <w:lang w:val="en-US" w:eastAsia="zh-Hans"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泥尔河乡经济总量在绥棱县所有乡镇中排名靠后，农业为泥尔河乡主要经济来源、工业与服务业基础薄弱，造成该乡经济韧性较低，抗风险能力差。</w:t>
      </w:r>
    </w:p>
    <w:p w14:paraId="30D8ADED">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3、全乡基础设施较薄弱</w:t>
      </w:r>
    </w:p>
    <w:p w14:paraId="6D178767">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Chars="0" w:firstLine="640" w:firstLineChars="200"/>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现有公共服务设施种类尚不齐全，治污减排能力不足，人居环境有待提高；域内道路普遍宽度较窄，部分道路错车困难，给居民的日常出行带来一定不便。</w:t>
      </w:r>
    </w:p>
    <w:p w14:paraId="3BACAD72">
      <w:pPr>
        <w:pStyle w:val="9"/>
        <w:rPr>
          <w:rFonts w:hint="eastAsia"/>
          <w:highlight w:val="none"/>
          <w:lang w:val="en-US" w:eastAsia="zh-CN"/>
        </w:rPr>
      </w:pPr>
    </w:p>
    <w:p w14:paraId="2B0A0D82">
      <w:pPr>
        <w:ind w:left="0" w:leftChars="0" w:firstLine="0" w:firstLineChars="0"/>
        <w:jc w:val="center"/>
        <w:rPr>
          <w:rFonts w:hint="eastAsia"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第二节  机遇与挑战</w:t>
      </w:r>
    </w:p>
    <w:p w14:paraId="7B7E90FA">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1"/>
        <w:rPr>
          <w:rFonts w:hint="eastAsia"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第11条  形势机遇</w:t>
      </w:r>
    </w:p>
    <w:p w14:paraId="09D2F592">
      <w:pPr>
        <w:keepNext w:val="0"/>
        <w:keepLines w:val="0"/>
        <w:pageBreakBefore w:val="0"/>
        <w:widowControl/>
        <w:suppressLineNumbers w:val="0"/>
        <w:kinsoku/>
        <w:wordWrap/>
        <w:overflowPunct/>
        <w:topLinePunct/>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1、国家发展新战略</w:t>
      </w:r>
    </w:p>
    <w:p w14:paraId="2A21BBEA">
      <w:pPr>
        <w:keepNext w:val="0"/>
        <w:keepLines w:val="0"/>
        <w:pageBreakBefore w:val="0"/>
        <w:widowControl/>
        <w:suppressLineNumbers w:val="0"/>
        <w:kinsoku/>
        <w:wordWrap/>
        <w:overflowPunct/>
        <w:topLinePunct/>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习近平总书记多次对我省作出重要讲话和重要指示批示，党中央、国务院出台系列支持东北振兴政策措施，为绥棱县发展带来了前所未有的政策机遇和强大的政治动力。同时应紧紧抓住党中央思想，积极推进“乡村振兴”，深入优化发展新格局。</w:t>
      </w:r>
    </w:p>
    <w:p w14:paraId="53DC55A3">
      <w:pPr>
        <w:keepNext w:val="0"/>
        <w:keepLines w:val="0"/>
        <w:pageBreakBefore w:val="0"/>
        <w:widowControl/>
        <w:suppressLineNumbers w:val="0"/>
        <w:kinsoku/>
        <w:wordWrap/>
        <w:overflowPunct/>
        <w:topLinePunct/>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2、省市发展新部署</w:t>
      </w:r>
    </w:p>
    <w:p w14:paraId="1327D5C6">
      <w:pPr>
        <w:keepNext w:val="0"/>
        <w:keepLines w:val="0"/>
        <w:pageBreakBefore w:val="0"/>
        <w:widowControl/>
        <w:suppressLineNumbers w:val="0"/>
        <w:kinsoku/>
        <w:wordWrap/>
        <w:overflowPunct/>
        <w:topLinePunct/>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新时期，省政府提出全省建设成为国家自主创新示范区、“藏粮于地、藏粮于技”战略核心区、资源型地区转型发展区的重大战略部署。从自身发展看，泥尔河乡地势平坦开阔，耕地资源丰富，农业发展条件优越。泥尔河乡秉承“生态立乡、产业富乡”的发展理念，突出重点抓农业，调整结构建支柱，发挥优势创特色。全力打造泥尔河乡以特色农业为主的农业服务型乡镇。</w:t>
      </w:r>
    </w:p>
    <w:p w14:paraId="57E7184A">
      <w:pPr>
        <w:keepNext/>
        <w:keepLines/>
        <w:pageBreakBefore w:val="0"/>
        <w:widowControl w:val="0"/>
        <w:kinsoku/>
        <w:wordWrap/>
        <w:overflowPunct/>
        <w:topLinePunct w:val="0"/>
        <w:autoSpaceDE/>
        <w:autoSpaceDN/>
        <w:bidi w:val="0"/>
        <w:adjustRightInd/>
        <w:snapToGrid/>
        <w:spacing w:before="91" w:line="360" w:lineRule="auto"/>
        <w:ind w:firstLine="0" w:firstLineChars="0"/>
        <w:jc w:val="left"/>
        <w:textAlignment w:val="auto"/>
        <w:outlineLvl w:val="1"/>
        <w:rPr>
          <w:rFonts w:hint="default"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第12条  面临挑战</w:t>
      </w:r>
    </w:p>
    <w:p w14:paraId="71E27CD0">
      <w:pPr>
        <w:keepNext w:val="0"/>
        <w:keepLines w:val="0"/>
        <w:pageBreakBefore w:val="0"/>
        <w:widowControl/>
        <w:suppressLineNumbers w:val="0"/>
        <w:kinsoku/>
        <w:wordWrap/>
        <w:overflowPunct/>
        <w:topLinePunct/>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1、耕地质量下降，农产品供给安全存在隐患</w:t>
      </w:r>
    </w:p>
    <w:p w14:paraId="16AF15C9">
      <w:pPr>
        <w:keepNext w:val="0"/>
        <w:keepLines w:val="0"/>
        <w:pageBreakBefore w:val="0"/>
        <w:widowControl/>
        <w:suppressLineNumbers w:val="0"/>
        <w:kinsoku/>
        <w:wordWrap/>
        <w:overflowPunct/>
        <w:topLinePunct/>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乡域侵蚀沟现象较为突出，低洼地区水土流失较为严重，存在黑土层变薄、土壤生产力下降等情况；光照条件不够、日照积温不足、农田水利设施建设不足影响农业结构调整，粮食生产安全保障面临挑战。</w:t>
      </w:r>
    </w:p>
    <w:p w14:paraId="2E036F68">
      <w:pPr>
        <w:keepNext w:val="0"/>
        <w:keepLines w:val="0"/>
        <w:pageBreakBefore w:val="0"/>
        <w:widowControl/>
        <w:suppressLineNumbers w:val="0"/>
        <w:kinsoku/>
        <w:wordWrap/>
        <w:overflowPunct/>
        <w:topLinePunct/>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2、人居品质需提升，公共服务设施覆盖度不高</w:t>
      </w:r>
    </w:p>
    <w:p w14:paraId="2CBBFC4A">
      <w:pPr>
        <w:keepNext w:val="0"/>
        <w:keepLines w:val="0"/>
        <w:pageBreakBefore w:val="0"/>
        <w:widowControl/>
        <w:suppressLineNumbers w:val="0"/>
        <w:kinsoku/>
        <w:wordWrap/>
        <w:overflowPunct/>
        <w:topLinePunct/>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泥尔河乡基础设施建设还未能真正达到宜居、宜业、宜养的标准，目前仅乡村交通一体化初具雏形，其他各类基础设施完善仍处于萌芽中。</w:t>
      </w:r>
    </w:p>
    <w:p w14:paraId="61D16819">
      <w:pPr>
        <w:keepNext w:val="0"/>
        <w:keepLines w:val="0"/>
        <w:pageBreakBefore w:val="0"/>
        <w:widowControl/>
        <w:suppressLineNumbers w:val="0"/>
        <w:wordWrap/>
        <w:overflowPunct/>
        <w:bidi w:val="0"/>
        <w:spacing w:line="600" w:lineRule="exact"/>
        <w:jc w:val="left"/>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3、产业结构单一，人才外流及老龄化严重</w:t>
      </w:r>
    </w:p>
    <w:p w14:paraId="0E8B85FE">
      <w:pPr>
        <w:keepNext w:val="0"/>
        <w:keepLines w:val="0"/>
        <w:pageBreakBefore w:val="0"/>
        <w:widowControl/>
        <w:suppressLineNumbers w:val="0"/>
        <w:wordWrap/>
        <w:overflowPunct/>
        <w:bidi w:val="0"/>
        <w:spacing w:line="600" w:lineRule="exact"/>
        <w:jc w:val="left"/>
        <w:rPr>
          <w:rFonts w:hint="eastAsia" w:ascii="仿宋" w:hAnsi="仿宋" w:cs="仿宋"/>
          <w:color w:val="000000"/>
          <w:kern w:val="0"/>
          <w:sz w:val="28"/>
          <w:szCs w:val="28"/>
          <w:highlight w:val="none"/>
          <w:u w:val="none"/>
          <w:lang w:val="en-US" w:eastAsia="zh-Hans" w:bidi="ar"/>
        </w:rPr>
      </w:pPr>
      <w:r>
        <w:rPr>
          <w:rFonts w:hint="eastAsia" w:ascii="Times New Roman" w:hAnsi="Times New Roman" w:eastAsia="仿宋_GB2312" w:cs="Times New Roman"/>
          <w:kern w:val="2"/>
          <w:sz w:val="32"/>
          <w:szCs w:val="22"/>
          <w:highlight w:val="none"/>
          <w:lang w:val="en-US" w:eastAsia="zh-CN" w:bidi="ar-SA"/>
          <w14:ligatures w14:val="none"/>
        </w:rPr>
        <w:t>全乡加工企业较少，以初级农产品加工为主，工业基础相对薄弱。人口增长动力不足，人才流失严重，老龄化社会所带来的社会保障和公共服务压力加大，对未来高质量建设、发展带来严重挑战。</w:t>
      </w:r>
    </w:p>
    <w:p w14:paraId="5CF45045">
      <w:pPr>
        <w:pageBreakBefore w:val="0"/>
        <w:wordWrap/>
        <w:overflowPunct/>
        <w:topLinePunct w:val="0"/>
        <w:bidi w:val="0"/>
        <w:spacing w:line="360" w:lineRule="auto"/>
        <w:outlineLvl w:val="9"/>
        <w:rPr>
          <w:rFonts w:hint="eastAsia" w:ascii="仿宋" w:hAnsi="仿宋" w:cs="仿宋"/>
          <w:color w:val="000000"/>
          <w:kern w:val="0"/>
          <w:sz w:val="28"/>
          <w:szCs w:val="28"/>
          <w:highlight w:val="none"/>
          <w:u w:val="none"/>
          <w:lang w:val="en-US" w:eastAsia="zh-Hans" w:bidi="ar"/>
        </w:rPr>
      </w:pPr>
      <w:r>
        <w:rPr>
          <w:rFonts w:hint="eastAsia" w:ascii="仿宋" w:hAnsi="仿宋" w:cs="仿宋"/>
          <w:color w:val="000000"/>
          <w:kern w:val="0"/>
          <w:sz w:val="28"/>
          <w:szCs w:val="28"/>
          <w:highlight w:val="none"/>
          <w:u w:val="none"/>
          <w:lang w:val="en-US" w:eastAsia="zh-Hans" w:bidi="ar"/>
        </w:rPr>
        <w:br w:type="page"/>
      </w:r>
      <w:bookmarkEnd w:id="62"/>
    </w:p>
    <w:p w14:paraId="53F59E1A">
      <w:pPr>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Hans"/>
        </w:rPr>
      </w:pPr>
      <w:bookmarkStart w:id="63" w:name="_Toc4467"/>
      <w:bookmarkStart w:id="64" w:name="_Toc31224"/>
      <w:bookmarkStart w:id="65" w:name="_Toc21605"/>
      <w:bookmarkStart w:id="66" w:name="_Toc18915"/>
      <w:bookmarkStart w:id="67" w:name="_Toc1543143723"/>
      <w:bookmarkStart w:id="68" w:name="_Toc12354"/>
      <w:bookmarkStart w:id="69" w:name="_Toc8689"/>
      <w:bookmarkStart w:id="70" w:name="_Toc19959"/>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Hans"/>
        </w:rPr>
        <w:t>第三章</w:t>
      </w:r>
      <w:r>
        <w:rPr>
          <w:rFonts w:hint="default" w:ascii="方正小标宋_GBK" w:hAnsi="方正小标宋_GBK" w:eastAsia="方正小标宋_GBK" w:cs="方正小标宋_GBK"/>
          <w:b w:val="0"/>
          <w:bCs w:val="0"/>
          <w:snapToGrid w:val="0"/>
          <w:color w:val="000000"/>
          <w:spacing w:val="1"/>
          <w:kern w:val="0"/>
          <w:sz w:val="36"/>
          <w:szCs w:val="36"/>
          <w:highlight w:val="none"/>
          <w:lang w:eastAsia="zh-Hans"/>
        </w:rPr>
        <w:t xml:space="preserve"> </w:t>
      </w:r>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CN"/>
        </w:rPr>
        <w:t xml:space="preserve"> </w:t>
      </w:r>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Hans"/>
        </w:rPr>
        <w:t>发展目标与空间战略</w:t>
      </w:r>
      <w:bookmarkEnd w:id="63"/>
      <w:bookmarkEnd w:id="64"/>
      <w:bookmarkEnd w:id="65"/>
      <w:bookmarkEnd w:id="66"/>
      <w:bookmarkEnd w:id="67"/>
      <w:bookmarkEnd w:id="68"/>
      <w:bookmarkEnd w:id="69"/>
      <w:bookmarkEnd w:id="70"/>
    </w:p>
    <w:p w14:paraId="1B7DB46C">
      <w:pPr>
        <w:pStyle w:val="3"/>
        <w:keepNext/>
        <w:keepLines/>
        <w:pageBreakBefore w:val="0"/>
        <w:widowControl w:val="0"/>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outlineLvl w:val="1"/>
        <w:rPr>
          <w:rFonts w:hint="default" w:ascii="黑体" w:hAnsi="黑体" w:eastAsia="黑体" w:cs="黑体"/>
          <w:b w:val="0"/>
          <w:bCs/>
          <w:kern w:val="2"/>
          <w:sz w:val="32"/>
          <w:szCs w:val="32"/>
          <w:highlight w:val="none"/>
          <w:lang w:val="en-US" w:eastAsia="zh-CN" w:bidi="ar-SA"/>
        </w:rPr>
      </w:pPr>
      <w:bookmarkStart w:id="71" w:name="_Toc22179"/>
      <w:bookmarkStart w:id="72" w:name="_Toc31661"/>
      <w:bookmarkStart w:id="73" w:name="_Toc456547642"/>
      <w:bookmarkStart w:id="74" w:name="_Toc12408"/>
      <w:bookmarkStart w:id="75" w:name="_Toc1521"/>
      <w:bookmarkStart w:id="76" w:name="_Toc32560"/>
      <w:bookmarkStart w:id="77" w:name="_Toc9981"/>
      <w:r>
        <w:rPr>
          <w:rFonts w:hint="eastAsia" w:ascii="黑体" w:hAnsi="黑体" w:eastAsia="黑体" w:cs="黑体"/>
          <w:b w:val="0"/>
          <w:bCs/>
          <w:kern w:val="2"/>
          <w:sz w:val="32"/>
          <w:szCs w:val="32"/>
          <w:highlight w:val="none"/>
          <w:lang w:val="en-US" w:eastAsia="zh-CN" w:bidi="ar-SA"/>
        </w:rPr>
        <w:t xml:space="preserve">第一节 </w:t>
      </w:r>
      <w:bookmarkEnd w:id="71"/>
      <w:bookmarkEnd w:id="72"/>
      <w:bookmarkEnd w:id="73"/>
      <w:bookmarkEnd w:id="74"/>
      <w:bookmarkEnd w:id="75"/>
      <w:bookmarkEnd w:id="76"/>
      <w:bookmarkEnd w:id="77"/>
      <w:r>
        <w:rPr>
          <w:rFonts w:hint="eastAsia" w:ascii="黑体" w:hAnsi="黑体" w:cs="黑体"/>
          <w:b w:val="0"/>
          <w:bCs/>
          <w:kern w:val="2"/>
          <w:sz w:val="32"/>
          <w:szCs w:val="32"/>
          <w:highlight w:val="none"/>
          <w:lang w:val="en-US" w:eastAsia="zh-CN" w:bidi="ar-SA"/>
        </w:rPr>
        <w:t xml:space="preserve"> </w:t>
      </w:r>
      <w:r>
        <w:rPr>
          <w:rFonts w:hint="eastAsia" w:ascii="黑体" w:hAnsi="黑体" w:eastAsia="黑体" w:cs="黑体"/>
          <w:b w:val="0"/>
          <w:bCs/>
          <w:kern w:val="2"/>
          <w:sz w:val="32"/>
          <w:szCs w:val="32"/>
          <w:highlight w:val="none"/>
          <w:lang w:val="en-US" w:eastAsia="zh-CN" w:bidi="ar-SA"/>
        </w:rPr>
        <w:t>规划定位与目标</w:t>
      </w:r>
    </w:p>
    <w:p w14:paraId="5E1850AA">
      <w:pPr>
        <w:keepNext/>
        <w:keepLines/>
        <w:pageBreakBefore w:val="0"/>
        <w:widowControl w:val="0"/>
        <w:kinsoku/>
        <w:wordWrap/>
        <w:overflowPunct/>
        <w:topLinePunct w:val="0"/>
        <w:autoSpaceDE/>
        <w:autoSpaceDN/>
        <w:bidi w:val="0"/>
        <w:adjustRightInd/>
        <w:snapToGrid/>
        <w:spacing w:before="91" w:line="360" w:lineRule="auto"/>
        <w:ind w:firstLine="0" w:firstLineChars="0"/>
        <w:jc w:val="left"/>
        <w:textAlignment w:val="auto"/>
        <w:outlineLvl w:val="2"/>
        <w:rPr>
          <w:rFonts w:hint="eastAsia" w:ascii="楷体" w:hAnsi="楷体" w:eastAsia="楷体" w:cs="楷体"/>
          <w:b w:val="0"/>
          <w:bCs w:val="0"/>
          <w:spacing w:val="-11"/>
          <w:kern w:val="2"/>
          <w:sz w:val="32"/>
          <w:szCs w:val="32"/>
          <w:highlight w:val="none"/>
          <w:lang w:val="en-US" w:eastAsia="zh-CN" w:bidi="ar-SA"/>
        </w:rPr>
      </w:pPr>
      <w:bookmarkStart w:id="78" w:name="_Toc16224"/>
      <w:bookmarkStart w:id="79" w:name="_Toc32520"/>
      <w:bookmarkStart w:id="80" w:name="_Toc21785"/>
      <w:bookmarkStart w:id="81" w:name="_Toc28308"/>
      <w:r>
        <w:rPr>
          <w:rFonts w:hint="eastAsia" w:ascii="楷体" w:hAnsi="楷体" w:eastAsia="楷体" w:cs="楷体"/>
          <w:b w:val="0"/>
          <w:bCs w:val="0"/>
          <w:spacing w:val="-11"/>
          <w:kern w:val="2"/>
          <w:sz w:val="32"/>
          <w:szCs w:val="32"/>
          <w:highlight w:val="none"/>
          <w:lang w:val="en-US" w:eastAsia="zh-CN" w:bidi="ar-SA"/>
        </w:rPr>
        <w:t>第13条  乡镇定位</w:t>
      </w:r>
      <w:bookmarkEnd w:id="78"/>
      <w:bookmarkEnd w:id="79"/>
      <w:bookmarkEnd w:id="80"/>
      <w:bookmarkEnd w:id="81"/>
    </w:p>
    <w:p w14:paraId="65309303">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根据绥棱县总体规划划定，泥尔河乡属于一般乡镇，并且为绥棱县高品质水稻生产基地和水稻加工重点乡，高油高蛋白大豆种植基地。</w:t>
      </w:r>
    </w:p>
    <w:p w14:paraId="31148FE5">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1、高品质水稻生产基地</w:t>
      </w:r>
    </w:p>
    <w:p w14:paraId="201DAFC0">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充分利用泥尔河乡的丰富的水田耕地资源和现有水稻种植技术，突出发展高品质水稻种植业，进一步打造“高品质水稻种植基地”。</w:t>
      </w:r>
    </w:p>
    <w:p w14:paraId="140AAE35">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2、绥棱县水稻加工重点乡</w:t>
      </w:r>
    </w:p>
    <w:p w14:paraId="56A09D62">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泥尔河乡充分依托绥棱县加工和仓储能力，以及通过打造富硒品牌、引进新型设备等多种举措，做大做强大米产业，通过园区和示范引带，带动全乡百姓参与产业发展，促进村民增收。</w:t>
      </w:r>
    </w:p>
    <w:p w14:paraId="00779BAB">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3、高油高蛋白大豆种植基地</w:t>
      </w:r>
    </w:p>
    <w:p w14:paraId="78D1FA76">
      <w:pPr>
        <w:pStyle w:val="2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利用泥尔河乡的耕地资源、高标准农田和大豆种植的基础，突出发展高品质大豆种植业，打造“高油高蛋白大豆种植基地”。</w:t>
      </w:r>
    </w:p>
    <w:p w14:paraId="0D88CF19">
      <w:pPr>
        <w:keepNext/>
        <w:keepLines/>
        <w:pageBreakBefore w:val="0"/>
        <w:widowControl w:val="0"/>
        <w:kinsoku/>
        <w:wordWrap/>
        <w:overflowPunct/>
        <w:topLinePunct w:val="0"/>
        <w:autoSpaceDE/>
        <w:autoSpaceDN/>
        <w:bidi w:val="0"/>
        <w:adjustRightInd/>
        <w:snapToGrid/>
        <w:spacing w:before="91" w:line="360" w:lineRule="auto"/>
        <w:ind w:firstLine="0" w:firstLineChars="0"/>
        <w:jc w:val="left"/>
        <w:textAlignment w:val="auto"/>
        <w:outlineLvl w:val="2"/>
        <w:rPr>
          <w:rFonts w:hint="eastAsia" w:ascii="楷体" w:hAnsi="楷体" w:eastAsia="楷体" w:cs="楷体"/>
          <w:b w:val="0"/>
          <w:bCs w:val="0"/>
          <w:spacing w:val="-11"/>
          <w:kern w:val="2"/>
          <w:sz w:val="32"/>
          <w:szCs w:val="32"/>
          <w:highlight w:val="none"/>
          <w:lang w:val="en-US" w:eastAsia="zh-CN" w:bidi="ar-SA"/>
        </w:rPr>
      </w:pPr>
      <w:bookmarkStart w:id="82" w:name="_Toc20208"/>
      <w:bookmarkStart w:id="83" w:name="_Toc31752"/>
      <w:bookmarkStart w:id="84" w:name="_Toc610"/>
      <w:bookmarkStart w:id="85" w:name="_Toc30142"/>
      <w:r>
        <w:rPr>
          <w:rFonts w:hint="eastAsia" w:ascii="楷体" w:hAnsi="楷体" w:eastAsia="楷体" w:cs="楷体"/>
          <w:b w:val="0"/>
          <w:bCs w:val="0"/>
          <w:spacing w:val="-11"/>
          <w:kern w:val="2"/>
          <w:sz w:val="32"/>
          <w:szCs w:val="32"/>
          <w:highlight w:val="none"/>
          <w:lang w:val="en-US" w:eastAsia="zh-CN" w:bidi="ar-SA"/>
        </w:rPr>
        <w:t>第14条</w:t>
      </w:r>
      <w:r>
        <w:rPr>
          <w:rFonts w:hint="default" w:ascii="楷体" w:hAnsi="楷体" w:eastAsia="楷体" w:cs="楷体"/>
          <w:b w:val="0"/>
          <w:bCs w:val="0"/>
          <w:spacing w:val="-11"/>
          <w:kern w:val="2"/>
          <w:sz w:val="32"/>
          <w:szCs w:val="32"/>
          <w:highlight w:val="none"/>
          <w:lang w:val="en-US" w:eastAsia="zh-CN" w:bidi="ar-SA"/>
        </w:rPr>
        <w:t xml:space="preserve"> </w:t>
      </w:r>
      <w:r>
        <w:rPr>
          <w:rFonts w:hint="eastAsia" w:ascii="楷体" w:hAnsi="楷体" w:eastAsia="楷体" w:cs="楷体"/>
          <w:b w:val="0"/>
          <w:bCs w:val="0"/>
          <w:spacing w:val="-11"/>
          <w:kern w:val="2"/>
          <w:sz w:val="32"/>
          <w:szCs w:val="32"/>
          <w:highlight w:val="none"/>
          <w:lang w:val="en-US" w:eastAsia="zh-CN" w:bidi="ar-SA"/>
        </w:rPr>
        <w:t>发展目标</w:t>
      </w:r>
      <w:bookmarkEnd w:id="82"/>
      <w:bookmarkEnd w:id="83"/>
      <w:bookmarkEnd w:id="84"/>
      <w:bookmarkEnd w:id="85"/>
    </w:p>
    <w:p w14:paraId="49BB197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bookmarkStart w:id="86" w:name="_Toc23403"/>
      <w:r>
        <w:rPr>
          <w:rFonts w:hint="eastAsia" w:ascii="Times New Roman" w:hAnsi="Times New Roman" w:eastAsia="仿宋_GB2312" w:cs="Times New Roman"/>
          <w:kern w:val="2"/>
          <w:sz w:val="32"/>
          <w:szCs w:val="22"/>
          <w:highlight w:val="none"/>
          <w:lang w:val="en-US" w:eastAsia="zh-CN" w:bidi="ar-SA"/>
          <w14:ligatures w14:val="none"/>
        </w:rPr>
        <w:t>1、总体目标</w:t>
      </w:r>
    </w:p>
    <w:p w14:paraId="2BC7E7FA">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提升乡域综合服务能级，重点推动高品质水稻种植业、农产品加工做强做大，兼顾新常态背景下的发展速度与发展质量，打造以高品质水稻生产为特色、水稻加工为支撑的具有当地特色的乡域，实现生态、经济、社会协调持续发展，打造“一村一品”。</w:t>
      </w:r>
    </w:p>
    <w:p w14:paraId="6AEE540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2、分阶段目标</w:t>
      </w:r>
    </w:p>
    <w:p w14:paraId="6BBB0C3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2025年发展目标：国土空间保护力度不断加强，保证永久基本农田管控严格，落实人口、资源环境和经济布局更加协调；农业发展稳定，稳步推进农村建设用地的整理整治，不断优化乡镇建设用地的结构。有序推进水稻加工项目的建设，深化产业链；利用泥尔河乡自然资源以及绿色农业，打造高品质农业；民生短板明显改善，人民生活水平有所提高，乡村基本公共服务均等化水平稳步提升。</w:t>
      </w:r>
    </w:p>
    <w:p w14:paraId="648E3121">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2035年发展目标：国土空间格局不断优化，“三区三线”管控体系基本稳定，国土空间更加安全韧性；生态文明体系构建进程加快，生态环境质量不断提升，生态屏障地位稳定；农业发展迅速，耕地保有量等任务基本完成，农业基础设施建设不断完善；全域魅力格局更加彰显，寒地人居环境品质提升，人民生活更加宜居幸福。</w:t>
      </w:r>
    </w:p>
    <w:p w14:paraId="6513B51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2050年展望目标：实现乡村建设、产业发展、环境品质、经济条件等方面全方位提升，全面建成绥棱县高品质水稻生产基地和水稻加工重点乡。</w:t>
      </w:r>
    </w:p>
    <w:p w14:paraId="15C7024B">
      <w:pPr>
        <w:rPr>
          <w:rFonts w:hint="eastAsia" w:ascii="仿宋" w:hAnsi="仿宋" w:cs="仿宋"/>
          <w:color w:val="000000"/>
          <w:kern w:val="0"/>
          <w:sz w:val="28"/>
          <w:highlight w:val="none"/>
          <w:lang w:val="en-US" w:eastAsia="zh-CN" w:bidi="ar"/>
        </w:rPr>
      </w:pPr>
      <w:r>
        <w:rPr>
          <w:rFonts w:hint="eastAsia" w:ascii="仿宋" w:hAnsi="仿宋" w:eastAsia="仿宋" w:cs="仿宋"/>
          <w:color w:val="000000"/>
          <w:kern w:val="0"/>
          <w:sz w:val="28"/>
          <w:szCs w:val="28"/>
          <w:highlight w:val="none"/>
          <w:lang w:val="en-US" w:eastAsia="zh-CN" w:bidi="ar"/>
        </w:rPr>
        <w:br w:type="page"/>
      </w:r>
      <w:bookmarkEnd w:id="86"/>
    </w:p>
    <w:p w14:paraId="5E066B6A">
      <w:pPr>
        <w:pStyle w:val="3"/>
        <w:keepNext/>
        <w:keepLines/>
        <w:pageBreakBefore w:val="0"/>
        <w:widowControl w:val="0"/>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outlineLvl w:val="1"/>
        <w:rPr>
          <w:rFonts w:hint="eastAsia" w:ascii="黑体" w:hAnsi="黑体" w:eastAsia="黑体" w:cs="黑体"/>
          <w:b w:val="0"/>
          <w:bCs/>
          <w:kern w:val="2"/>
          <w:sz w:val="32"/>
          <w:szCs w:val="32"/>
          <w:highlight w:val="none"/>
          <w:lang w:val="en-US" w:eastAsia="zh-CN" w:bidi="ar-SA"/>
        </w:rPr>
      </w:pPr>
      <w:bookmarkStart w:id="87" w:name="_Toc10179"/>
      <w:r>
        <w:rPr>
          <w:rFonts w:hint="eastAsia" w:ascii="黑体" w:hAnsi="黑体" w:eastAsia="黑体" w:cs="黑体"/>
          <w:b w:val="0"/>
          <w:bCs/>
          <w:kern w:val="2"/>
          <w:sz w:val="32"/>
          <w:szCs w:val="32"/>
          <w:highlight w:val="none"/>
          <w:lang w:val="en-US" w:eastAsia="zh-CN" w:bidi="ar-SA"/>
        </w:rPr>
        <w:t xml:space="preserve">第二节 </w:t>
      </w:r>
      <w:r>
        <w:rPr>
          <w:rFonts w:hint="eastAsia" w:ascii="黑体" w:hAnsi="黑体" w:cs="黑体"/>
          <w:b w:val="0"/>
          <w:bCs/>
          <w:kern w:val="2"/>
          <w:sz w:val="32"/>
          <w:szCs w:val="32"/>
          <w:highlight w:val="none"/>
          <w:lang w:val="en-US" w:eastAsia="zh-CN" w:bidi="ar-SA"/>
        </w:rPr>
        <w:t xml:space="preserve"> </w:t>
      </w:r>
      <w:r>
        <w:rPr>
          <w:rFonts w:hint="eastAsia" w:ascii="黑体" w:hAnsi="黑体" w:eastAsia="黑体" w:cs="黑体"/>
          <w:b w:val="0"/>
          <w:bCs/>
          <w:kern w:val="2"/>
          <w:sz w:val="32"/>
          <w:szCs w:val="32"/>
          <w:highlight w:val="none"/>
          <w:lang w:val="en-US" w:eastAsia="zh-CN" w:bidi="ar-SA"/>
        </w:rPr>
        <w:t>空间发展战略</w:t>
      </w:r>
      <w:bookmarkEnd w:id="87"/>
      <w:r>
        <w:rPr>
          <w:rFonts w:hint="eastAsia" w:ascii="黑体" w:hAnsi="黑体" w:eastAsia="黑体" w:cs="黑体"/>
          <w:b w:val="0"/>
          <w:bCs/>
          <w:kern w:val="2"/>
          <w:sz w:val="32"/>
          <w:szCs w:val="32"/>
          <w:highlight w:val="none"/>
          <w:lang w:val="en-US" w:eastAsia="zh-CN" w:bidi="ar-SA"/>
        </w:rPr>
        <w:t xml:space="preserve"> </w:t>
      </w:r>
    </w:p>
    <w:p w14:paraId="654F6577">
      <w:pPr>
        <w:pStyle w:val="5"/>
        <w:keepNext/>
        <w:keepLines/>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 w:hAnsi="楷体" w:eastAsia="楷体" w:cs="楷体"/>
          <w:b w:val="0"/>
          <w:bCs w:val="0"/>
          <w:spacing w:val="-11"/>
          <w:sz w:val="32"/>
          <w:szCs w:val="32"/>
          <w:highlight w:val="none"/>
          <w:lang w:val="en-US" w:eastAsia="zh-CN"/>
        </w:rPr>
      </w:pPr>
      <w:bookmarkStart w:id="88" w:name="_Toc134453004"/>
      <w:bookmarkStart w:id="89" w:name="_Toc10598"/>
      <w:bookmarkStart w:id="90" w:name="_Toc11113"/>
      <w:r>
        <w:rPr>
          <w:rFonts w:hint="eastAsia" w:ascii="楷体" w:hAnsi="楷体" w:eastAsia="楷体" w:cs="楷体"/>
          <w:b w:val="0"/>
          <w:bCs w:val="0"/>
          <w:spacing w:val="-11"/>
          <w:sz w:val="32"/>
          <w:szCs w:val="32"/>
          <w:highlight w:val="none"/>
          <w:lang w:val="en-US" w:eastAsia="zh-CN"/>
        </w:rPr>
        <w:t>第15条  国土空间开发保护策略</w:t>
      </w:r>
    </w:p>
    <w:p w14:paraId="1E9A2124">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1、实施黑土保护、农业保障策略</w:t>
      </w:r>
    </w:p>
    <w:p w14:paraId="7221310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坚持耕地数量、质量、生态“三位一体”保护，围绕全省建设“藏粮于地、藏粮于技”国家战略示范区、黑土地保护样板区，依托泥尔河乡地处寒地黑土核心区的资源禀赋，落实最严格的耕地保护制度，改善黑土耕地质量和设施条件，实施黑土地保护性耕作工程，切实把黑土地这个“耕地中的大熊猫”保护好、利用好，打造保障国家粮食安全的“压舱石”，为现代农业发展提供坚实基础。</w:t>
      </w:r>
    </w:p>
    <w:p w14:paraId="49A8E5A7">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2、实施生态优先、绿色发展策略</w:t>
      </w:r>
    </w:p>
    <w:p w14:paraId="684987E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践行习近平总书记“绿水青山是金山银山，黑龙江的冰天雪地也是金山银山”的发展理念，落实上位规划传导的生态环境保护任务目标，推动生态文明建设；提升生态资源质量，重点保护生态区资源，保护泥尔河乡生态格局。</w:t>
      </w:r>
    </w:p>
    <w:p w14:paraId="0DC62E8D">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3、实施中心集聚、全乡统筹策略</w:t>
      </w:r>
    </w:p>
    <w:p w14:paraId="3A81129B">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加快做大做优乡域发展核心，实施乡域优先发展战略，重点提升乡域发展能级，形成乡域发展框架，建设成为泥尔河乡特色乡域。将泥尔河乡农业种植、农业深加工等产业集聚在进军村，带动其他村庄共同发展。坚持城乡融合发展，围绕乡政府驻地培育现代化小乡镇，强化乡政府驻地支撑作用，分类推进村庄整治。对空心化率高、规模小、常年受灾、设施较差等的村庄实现撤并复垦或产业预留，增加耕地数量，充分利用闲置用地进行安置，实现人口集聚，土地集约发展。</w:t>
      </w:r>
    </w:p>
    <w:p w14:paraId="0692D7A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4、实施系统优化、协调发展策略</w:t>
      </w:r>
    </w:p>
    <w:p w14:paraId="4030858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坚持山水林田湖草生命共同体，优化资源要素配置。重点改善水域生态功能，加强湿地恢复；优化耕地布局，推动高标准农田建设；开展集中连片造林绿化工程；有效开发利用矿产资源；提升建设用地节约集约利用水平，整治低效用地，优化村庄布局。</w:t>
      </w:r>
    </w:p>
    <w:bookmarkEnd w:id="88"/>
    <w:bookmarkEnd w:id="89"/>
    <w:bookmarkEnd w:id="90"/>
    <w:p w14:paraId="5C52DDFB">
      <w:pPr>
        <w:pStyle w:val="3"/>
        <w:keepNext/>
        <w:keepLines/>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黑体" w:hAnsi="黑体" w:eastAsia="黑体" w:cs="黑体"/>
          <w:b/>
          <w:bCs/>
          <w:kern w:val="2"/>
          <w:sz w:val="32"/>
          <w:szCs w:val="32"/>
          <w:highlight w:val="none"/>
          <w:lang w:val="en-US" w:eastAsia="zh-CN" w:bidi="ar-SA"/>
        </w:rPr>
      </w:pPr>
      <w:bookmarkStart w:id="91" w:name="_Toc142844757"/>
    </w:p>
    <w:p w14:paraId="285CC5AB">
      <w:pPr>
        <w:pStyle w:val="3"/>
        <w:keepNext/>
        <w:keepLines/>
        <w:pageBreakBefore w:val="0"/>
        <w:widowControl w:val="0"/>
        <w:kinsoku/>
        <w:wordWrap/>
        <w:overflowPunct/>
        <w:topLinePunct w:val="0"/>
        <w:autoSpaceDE/>
        <w:autoSpaceDN/>
        <w:bidi w:val="0"/>
        <w:adjustRightInd/>
        <w:snapToGrid/>
        <w:spacing w:before="0" w:after="0" w:line="600" w:lineRule="exact"/>
        <w:ind w:firstLine="0" w:firstLineChars="0"/>
        <w:jc w:val="center"/>
        <w:textAlignment w:val="auto"/>
        <w:rPr>
          <w:b w:val="0"/>
          <w:sz w:val="32"/>
          <w:highlight w:val="none"/>
        </w:rPr>
      </w:pPr>
      <w:r>
        <w:rPr>
          <w:rFonts w:hint="eastAsia" w:ascii="黑体" w:hAnsi="黑体" w:eastAsia="黑体" w:cs="黑体"/>
          <w:b w:val="0"/>
          <w:bCs/>
          <w:kern w:val="2"/>
          <w:sz w:val="32"/>
          <w:szCs w:val="32"/>
          <w:highlight w:val="none"/>
          <w:lang w:val="en-US" w:eastAsia="zh-CN" w:bidi="ar-SA"/>
        </w:rPr>
        <w:t xml:space="preserve">第三节 </w:t>
      </w:r>
      <w:r>
        <w:rPr>
          <w:rFonts w:hint="eastAsia" w:ascii="黑体" w:hAnsi="黑体" w:cs="黑体"/>
          <w:b w:val="0"/>
          <w:bCs/>
          <w:kern w:val="2"/>
          <w:sz w:val="32"/>
          <w:szCs w:val="32"/>
          <w:highlight w:val="none"/>
          <w:lang w:val="en-US" w:eastAsia="zh-CN" w:bidi="ar-SA"/>
        </w:rPr>
        <w:t xml:space="preserve"> </w:t>
      </w:r>
      <w:r>
        <w:rPr>
          <w:rFonts w:hint="eastAsia" w:ascii="黑体" w:hAnsi="黑体" w:eastAsia="黑体" w:cs="黑体"/>
          <w:b w:val="0"/>
          <w:bCs/>
          <w:kern w:val="2"/>
          <w:sz w:val="32"/>
          <w:szCs w:val="32"/>
          <w:highlight w:val="none"/>
          <w:lang w:val="en-US" w:eastAsia="zh-CN" w:bidi="ar-SA"/>
        </w:rPr>
        <w:t>指标体系与上位规划落实</w:t>
      </w:r>
      <w:bookmarkEnd w:id="91"/>
    </w:p>
    <w:p w14:paraId="7CDB720A">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2"/>
        <w:rPr>
          <w:rFonts w:hint="eastAsia" w:ascii="楷体" w:hAnsi="楷体" w:eastAsia="楷体" w:cs="楷体"/>
          <w:b w:val="0"/>
          <w:bCs w:val="0"/>
          <w:spacing w:val="-11"/>
          <w:kern w:val="2"/>
          <w:sz w:val="32"/>
          <w:szCs w:val="32"/>
          <w:highlight w:val="none"/>
          <w:lang w:val="en-US" w:eastAsia="zh-CN" w:bidi="ar-SA"/>
        </w:rPr>
      </w:pPr>
      <w:bookmarkStart w:id="92" w:name="_Toc2"/>
      <w:bookmarkStart w:id="93" w:name="_Toc7386"/>
      <w:r>
        <w:rPr>
          <w:rFonts w:hint="eastAsia" w:ascii="楷体" w:hAnsi="楷体" w:eastAsia="楷体" w:cs="楷体"/>
          <w:b w:val="0"/>
          <w:bCs w:val="0"/>
          <w:spacing w:val="-11"/>
          <w:kern w:val="2"/>
          <w:sz w:val="32"/>
          <w:szCs w:val="32"/>
          <w:highlight w:val="none"/>
          <w:lang w:val="en-US" w:eastAsia="zh-CN" w:bidi="ar-SA"/>
        </w:rPr>
        <w:t>第16条</w:t>
      </w:r>
      <w:r>
        <w:rPr>
          <w:rFonts w:hint="default" w:ascii="楷体" w:hAnsi="楷体" w:eastAsia="楷体" w:cs="楷体"/>
          <w:b w:val="0"/>
          <w:bCs w:val="0"/>
          <w:spacing w:val="-11"/>
          <w:kern w:val="2"/>
          <w:sz w:val="32"/>
          <w:szCs w:val="32"/>
          <w:highlight w:val="none"/>
          <w:lang w:val="en-US" w:eastAsia="zh-CN" w:bidi="ar-SA"/>
        </w:rPr>
        <w:t xml:space="preserve"> </w:t>
      </w:r>
      <w:r>
        <w:rPr>
          <w:rFonts w:hint="eastAsia" w:ascii="楷体" w:hAnsi="楷体" w:eastAsia="楷体" w:cs="楷体"/>
          <w:b w:val="0"/>
          <w:bCs w:val="0"/>
          <w:spacing w:val="-11"/>
          <w:kern w:val="2"/>
          <w:sz w:val="32"/>
          <w:szCs w:val="32"/>
          <w:highlight w:val="none"/>
          <w:lang w:val="en-US" w:eastAsia="zh-CN" w:bidi="ar-SA"/>
        </w:rPr>
        <w:t xml:space="preserve"> 规划指标体系</w:t>
      </w:r>
      <w:bookmarkEnd w:id="92"/>
      <w:bookmarkEnd w:id="93"/>
    </w:p>
    <w:p w14:paraId="7E86E675">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根据区域格局研判与现状认知结果，明确泥尔河乡发展目标与战略定位，在此基础上通过落实衔接上位国土空间规划指标，从空间底线、空间结构与效率和空间品质三方面制定规划指标体系。</w:t>
      </w:r>
    </w:p>
    <w:p w14:paraId="6B38DA40">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2"/>
        <w:rPr>
          <w:rFonts w:hint="default" w:ascii="楷体" w:hAnsi="楷体" w:eastAsia="楷体" w:cs="楷体"/>
          <w:b w:val="0"/>
          <w:bCs w:val="0"/>
          <w:spacing w:val="-11"/>
          <w:kern w:val="2"/>
          <w:sz w:val="32"/>
          <w:szCs w:val="32"/>
          <w:highlight w:val="none"/>
          <w:lang w:val="en-US" w:eastAsia="zh-CN" w:bidi="ar-SA"/>
        </w:rPr>
      </w:pPr>
      <w:r>
        <w:rPr>
          <w:rFonts w:hint="eastAsia" w:ascii="楷体" w:hAnsi="楷体" w:eastAsia="楷体" w:cs="楷体"/>
          <w:b w:val="0"/>
          <w:bCs w:val="0"/>
          <w:spacing w:val="-11"/>
          <w:kern w:val="2"/>
          <w:sz w:val="32"/>
          <w:szCs w:val="32"/>
          <w:highlight w:val="none"/>
          <w:lang w:val="en-US" w:eastAsia="zh-CN" w:bidi="ar-SA"/>
        </w:rPr>
        <w:t>第17条  上位规划落实</w:t>
      </w:r>
    </w:p>
    <w:p w14:paraId="16374E3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1、落实发展定位与规模要求</w:t>
      </w:r>
    </w:p>
    <w:p w14:paraId="27AF030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明确发展方向与容量。规划至2035年，全乡落实县级总体规划规定的农业型乡镇发展定位。</w:t>
      </w:r>
    </w:p>
    <w:p w14:paraId="4418F45D">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2、落实区域基本控制线要求</w:t>
      </w:r>
    </w:p>
    <w:p w14:paraId="245CBFCA">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3、落实公共服务和基础设施要求</w:t>
      </w:r>
    </w:p>
    <w:p w14:paraId="06C0F075">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完善区域发展的支撑保障体系。规划至2035年，全乡落实县级总体规划确定的省道501建设项目、重要公共服务设施配套标准、城乡品质提升计划等。</w:t>
      </w:r>
    </w:p>
    <w:p w14:paraId="4D3148E5">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4、落实国土空间综合整治要求</w:t>
      </w:r>
    </w:p>
    <w:p w14:paraId="502CCF92">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规划至2035年，落实县级国土空间总体规划侵蚀沟治理工程，综合运用工程措施和林草措施加强重点地区水土流失防治，进行湿地与水域生态修复并且实施水生态环境质量提升工程。</w:t>
      </w:r>
    </w:p>
    <w:p w14:paraId="144FD77E">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5、落实国土空间规划分区要求</w:t>
      </w:r>
    </w:p>
    <w:p w14:paraId="4304B87A">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规划至2035年，落实县级国土空间总体规划针对泥尔河乡的规划分区要求。</w:t>
      </w:r>
    </w:p>
    <w:p w14:paraId="62F6F02F">
      <w:pPr>
        <w:rPr>
          <w:rFonts w:hint="eastAsia" w:ascii="仿宋" w:hAnsi="仿宋" w:eastAsia="仿宋" w:cs="仿宋"/>
          <w:highlight w:val="none"/>
        </w:rPr>
      </w:pPr>
      <w:r>
        <w:rPr>
          <w:rFonts w:hint="eastAsia" w:ascii="黑体" w:hAnsi="宋体" w:eastAsia="黑体" w:cs="黑体"/>
          <w:color w:val="000000"/>
          <w:kern w:val="0"/>
          <w:sz w:val="28"/>
          <w:szCs w:val="28"/>
          <w:highlight w:val="none"/>
          <w:lang w:val="en-US" w:eastAsia="zh-CN" w:bidi="ar"/>
        </w:rPr>
        <w:br w:type="page"/>
      </w:r>
    </w:p>
    <w:p w14:paraId="5BAD5520">
      <w:pPr>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Hans"/>
        </w:rPr>
      </w:pPr>
      <w:bookmarkStart w:id="94" w:name="_Toc6945"/>
      <w:bookmarkStart w:id="95" w:name="_Toc29439"/>
      <w:bookmarkStart w:id="96" w:name="_Toc9917"/>
      <w:bookmarkStart w:id="97" w:name="_Toc30598"/>
      <w:bookmarkStart w:id="98" w:name="_Toc18416"/>
      <w:bookmarkStart w:id="99" w:name="_Toc23693"/>
      <w:bookmarkStart w:id="100" w:name="_Toc19912"/>
      <w:bookmarkStart w:id="101" w:name="_Toc22888109"/>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Hans"/>
        </w:rPr>
        <w:t>第四章</w:t>
      </w:r>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CN"/>
        </w:rPr>
        <w:t xml:space="preserve"> </w:t>
      </w:r>
      <w:r>
        <w:rPr>
          <w:rFonts w:hint="default" w:ascii="方正小标宋_GBK" w:hAnsi="方正小标宋_GBK" w:eastAsia="方正小标宋_GBK" w:cs="方正小标宋_GBK"/>
          <w:b w:val="0"/>
          <w:bCs w:val="0"/>
          <w:snapToGrid w:val="0"/>
          <w:color w:val="000000"/>
          <w:spacing w:val="1"/>
          <w:kern w:val="0"/>
          <w:sz w:val="36"/>
          <w:szCs w:val="36"/>
          <w:highlight w:val="none"/>
          <w:lang w:val="en-US" w:eastAsia="zh-Hans"/>
        </w:rPr>
        <w:t xml:space="preserve"> </w:t>
      </w:r>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Hans"/>
        </w:rPr>
        <w:t>国土空间开发保护格局</w:t>
      </w:r>
      <w:bookmarkEnd w:id="94"/>
      <w:bookmarkEnd w:id="95"/>
      <w:bookmarkEnd w:id="96"/>
      <w:bookmarkEnd w:id="97"/>
      <w:bookmarkEnd w:id="98"/>
      <w:bookmarkEnd w:id="99"/>
      <w:bookmarkEnd w:id="100"/>
      <w:bookmarkEnd w:id="101"/>
    </w:p>
    <w:p w14:paraId="6F31F583">
      <w:pPr>
        <w:keepNext w:val="0"/>
        <w:keepLines w:val="0"/>
        <w:pageBreakBefore w:val="0"/>
        <w:widowControl/>
        <w:suppressLineNumbers w:val="0"/>
        <w:kinsoku/>
        <w:wordWrap/>
        <w:overflowPunct/>
        <w:topLinePunct w:val="0"/>
        <w:autoSpaceDE/>
        <w:autoSpaceDN/>
        <w:bidi w:val="0"/>
        <w:adjustRightInd/>
        <w:snapToGrid/>
        <w:spacing w:line="600" w:lineRule="exact"/>
        <w:ind w:firstLine="0" w:firstLineChars="0"/>
        <w:jc w:val="center"/>
        <w:textAlignment w:val="auto"/>
        <w:rPr>
          <w:rFonts w:hint="default" w:ascii="黑体" w:hAnsi="黑体" w:eastAsia="黑体" w:cs="黑体"/>
          <w:b w:val="0"/>
          <w:bCs/>
          <w:kern w:val="2"/>
          <w:sz w:val="32"/>
          <w:szCs w:val="32"/>
          <w:highlight w:val="none"/>
          <w:lang w:val="en-US" w:eastAsia="zh-CN" w:bidi="ar-SA"/>
        </w:rPr>
      </w:pPr>
      <w:bookmarkStart w:id="102" w:name="_Toc6232"/>
      <w:bookmarkStart w:id="103" w:name="_Toc5929"/>
      <w:bookmarkStart w:id="104" w:name="_Toc15353"/>
      <w:bookmarkStart w:id="105" w:name="_Toc280875150"/>
      <w:bookmarkStart w:id="106" w:name="_Toc24465"/>
      <w:bookmarkStart w:id="107" w:name="_Toc31957"/>
      <w:bookmarkStart w:id="108" w:name="_Toc28580"/>
      <w:bookmarkStart w:id="109" w:name="_Toc16335"/>
      <w:bookmarkStart w:id="110" w:name="_Toc2196"/>
      <w:bookmarkStart w:id="111" w:name="_Toc134453007"/>
      <w:bookmarkStart w:id="112" w:name="_Toc11083"/>
      <w:bookmarkStart w:id="113" w:name="_Toc9804"/>
      <w:bookmarkStart w:id="114" w:name="_Toc16752"/>
      <w:bookmarkStart w:id="115" w:name="_Toc499589944"/>
      <w:bookmarkStart w:id="116" w:name="_Toc27733"/>
      <w:r>
        <w:rPr>
          <w:rFonts w:hint="eastAsia" w:ascii="黑体" w:hAnsi="黑体" w:eastAsia="黑体" w:cs="黑体"/>
          <w:b w:val="0"/>
          <w:bCs/>
          <w:kern w:val="2"/>
          <w:sz w:val="32"/>
          <w:szCs w:val="32"/>
          <w:highlight w:val="none"/>
          <w:lang w:val="en-US" w:eastAsia="zh-CN" w:bidi="ar-SA"/>
        </w:rPr>
        <w:t>第一节</w:t>
      </w:r>
      <w:r>
        <w:rPr>
          <w:rFonts w:hint="default" w:ascii="黑体" w:hAnsi="黑体" w:eastAsia="黑体" w:cs="黑体"/>
          <w:b w:val="0"/>
          <w:bCs/>
          <w:kern w:val="2"/>
          <w:sz w:val="32"/>
          <w:szCs w:val="32"/>
          <w:highlight w:val="none"/>
          <w:lang w:val="en-US" w:eastAsia="zh-CN" w:bidi="ar-SA"/>
        </w:rPr>
        <w:t xml:space="preserve"> </w:t>
      </w:r>
      <w:bookmarkEnd w:id="102"/>
      <w:bookmarkEnd w:id="103"/>
      <w:bookmarkEnd w:id="104"/>
      <w:bookmarkEnd w:id="105"/>
      <w:bookmarkEnd w:id="106"/>
      <w:bookmarkEnd w:id="107"/>
      <w:bookmarkEnd w:id="108"/>
      <w:r>
        <w:rPr>
          <w:rFonts w:hint="eastAsia" w:ascii="黑体" w:hAnsi="黑体" w:eastAsia="黑体" w:cs="黑体"/>
          <w:b w:val="0"/>
          <w:bCs/>
          <w:kern w:val="2"/>
          <w:sz w:val="32"/>
          <w:szCs w:val="32"/>
          <w:highlight w:val="none"/>
          <w:lang w:val="en-US" w:eastAsia="zh-CN" w:bidi="ar-SA"/>
        </w:rPr>
        <w:t xml:space="preserve"> 统筹划定三条控制线</w:t>
      </w:r>
    </w:p>
    <w:p w14:paraId="694C2031">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bidi="ar-SA"/>
        </w:rPr>
      </w:pPr>
      <w:bookmarkStart w:id="117" w:name="_Toc13734"/>
      <w:bookmarkStart w:id="118" w:name="_Toc20477"/>
      <w:bookmarkStart w:id="119" w:name="_Toc11646"/>
      <w:bookmarkStart w:id="120" w:name="_Toc32595"/>
      <w:bookmarkStart w:id="121" w:name="_Toc23924"/>
      <w:bookmarkStart w:id="122" w:name="_Toc6421"/>
      <w:bookmarkStart w:id="123" w:name="_Toc28328"/>
      <w:bookmarkStart w:id="124" w:name="_Toc20342"/>
      <w:r>
        <w:rPr>
          <w:rFonts w:hint="eastAsia" w:ascii="楷体" w:hAnsi="楷体" w:eastAsia="楷体" w:cs="楷体"/>
          <w:b w:val="0"/>
          <w:bCs w:val="0"/>
          <w:snapToGrid w:val="0"/>
          <w:color w:val="000000"/>
          <w:spacing w:val="-11"/>
          <w:kern w:val="0"/>
          <w:sz w:val="32"/>
          <w:szCs w:val="32"/>
          <w:highlight w:val="none"/>
          <w:lang w:val="en-US" w:eastAsia="zh-CN" w:bidi="ar-SA"/>
        </w:rPr>
        <w:t xml:space="preserve">第18条 </w:t>
      </w:r>
      <w:r>
        <w:rPr>
          <w:rFonts w:hint="default" w:ascii="楷体" w:hAnsi="楷体" w:eastAsia="楷体" w:cs="楷体"/>
          <w:b w:val="0"/>
          <w:bCs w:val="0"/>
          <w:snapToGrid w:val="0"/>
          <w:color w:val="000000"/>
          <w:spacing w:val="-11"/>
          <w:kern w:val="0"/>
          <w:sz w:val="32"/>
          <w:szCs w:val="32"/>
          <w:highlight w:val="none"/>
          <w:lang w:val="en-US" w:eastAsia="zh-CN" w:bidi="ar-SA"/>
        </w:rPr>
        <w:t xml:space="preserve"> </w:t>
      </w:r>
      <w:r>
        <w:rPr>
          <w:rFonts w:hint="eastAsia" w:ascii="楷体" w:hAnsi="楷体" w:eastAsia="楷体" w:cs="楷体"/>
          <w:b w:val="0"/>
          <w:bCs w:val="0"/>
          <w:snapToGrid w:val="0"/>
          <w:color w:val="000000"/>
          <w:spacing w:val="-11"/>
          <w:kern w:val="0"/>
          <w:sz w:val="32"/>
          <w:szCs w:val="32"/>
          <w:highlight w:val="none"/>
          <w:lang w:val="en-US" w:eastAsia="zh-CN" w:bidi="ar-SA"/>
        </w:rPr>
        <w:t>耕地和永久基本农田</w:t>
      </w:r>
      <w:bookmarkEnd w:id="117"/>
      <w:bookmarkEnd w:id="118"/>
      <w:bookmarkEnd w:id="119"/>
      <w:bookmarkEnd w:id="120"/>
    </w:p>
    <w:p w14:paraId="0D23196C">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1、保护目标</w:t>
      </w:r>
    </w:p>
    <w:p w14:paraId="2A3C306B">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kern w:val="2"/>
          <w:sz w:val="32"/>
          <w:szCs w:val="22"/>
          <w:highlight w:val="none"/>
          <w:u w:val="none"/>
          <w:lang w:val="en-US" w:eastAsia="zh-CN" w:bidi="ar-SA"/>
          <w14:ligatures w14:val="none"/>
        </w:rPr>
      </w:pPr>
      <w:r>
        <w:rPr>
          <w:rFonts w:hint="eastAsia" w:ascii="Times New Roman" w:hAnsi="Times New Roman" w:eastAsia="仿宋_GB2312" w:cs="Times New Roman"/>
          <w:kern w:val="2"/>
          <w:sz w:val="32"/>
          <w:szCs w:val="22"/>
          <w:highlight w:val="none"/>
          <w:u w:val="none"/>
          <w:lang w:val="en-US" w:eastAsia="zh-CN" w:bidi="ar-SA"/>
          <w14:ligatures w14:val="none"/>
        </w:rPr>
        <w:t>优先划定耕地和永久基本农田保护红线。现状耕地应划尽划、应保尽保，优先确定耕地保护目标，将可以长期稳定利用耕地优先划入永久基本农田实行特殊保护。</w:t>
      </w:r>
    </w:p>
    <w:p w14:paraId="71161E52">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2、管控要求</w:t>
      </w:r>
    </w:p>
    <w:p w14:paraId="13408F7A">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kern w:val="2"/>
          <w:sz w:val="32"/>
          <w:szCs w:val="22"/>
          <w:highlight w:val="none"/>
          <w:u w:val="none"/>
          <w:lang w:val="en-US" w:eastAsia="zh-CN" w:bidi="ar-SA"/>
          <w14:ligatures w14:val="none"/>
        </w:rPr>
      </w:pPr>
      <w:r>
        <w:rPr>
          <w:rFonts w:hint="eastAsia" w:ascii="Times New Roman" w:hAnsi="Times New Roman" w:eastAsia="仿宋_GB2312" w:cs="Times New Roman"/>
          <w:kern w:val="2"/>
          <w:sz w:val="32"/>
          <w:szCs w:val="22"/>
          <w:highlight w:val="none"/>
          <w:u w:val="none"/>
          <w:lang w:val="en-US" w:eastAsia="zh-CN" w:bidi="ar-SA"/>
          <w14:ligatures w14:val="none"/>
        </w:rPr>
        <w:t>耕地和永久基本农田一经划定，未经批准不得擅自调整。优先保护村庄周边的耕地和永久基本农田，严格实施耕地用途管制。稳妥有序恢复流向其他农用地的耕地，补充流失耕地的缺口。各村庄规划应严格落实耕地和永久基本农田保护目标任务，确保划定的耕地和永久基本农田保护红线稳定。</w:t>
      </w:r>
    </w:p>
    <w:tbl>
      <w:tblPr>
        <w:tblStyle w:val="18"/>
        <w:tblW w:w="86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3"/>
        <w:gridCol w:w="7368"/>
      </w:tblGrid>
      <w:tr w14:paraId="1CFF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1" w:type="dxa"/>
            <w:gridSpan w:val="2"/>
            <w:vAlign w:val="top"/>
          </w:tcPr>
          <w:p w14:paraId="67189231">
            <w:pPr>
              <w:spacing w:before="46" w:line="206" w:lineRule="auto"/>
              <w:ind w:left="0" w:leftChars="0" w:firstLine="0" w:firstLineChars="0"/>
              <w:jc w:val="center"/>
              <w:rPr>
                <w:rFonts w:ascii="仿宋" w:hAnsi="仿宋" w:cs="仿宋"/>
                <w:color w:val="auto"/>
                <w:kern w:val="0"/>
                <w:szCs w:val="32"/>
                <w:highlight w:val="none"/>
              </w:rPr>
            </w:pPr>
            <w:r>
              <w:rPr>
                <w:rFonts w:hint="eastAsia" w:ascii="黑体" w:hAnsi="黑体" w:eastAsia="黑体" w:cs="黑体"/>
                <w:sz w:val="30"/>
                <w:szCs w:val="30"/>
                <w:highlight w:val="none"/>
                <w:lang w:val="en-US" w:eastAsia="zh-CN"/>
              </w:rPr>
              <w:t>专栏1：耕地和永久基本农田保护红线管控规则</w:t>
            </w:r>
          </w:p>
        </w:tc>
      </w:tr>
      <w:tr w14:paraId="38F0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jc w:val="center"/>
        </w:trPr>
        <w:tc>
          <w:tcPr>
            <w:tcW w:w="1112" w:type="dxa"/>
            <w:vAlign w:val="top"/>
          </w:tcPr>
          <w:p w14:paraId="0C7B7D72">
            <w:pPr>
              <w:ind w:left="0" w:leftChars="0" w:firstLine="0" w:firstLineChars="0"/>
              <w:rPr>
                <w:rFonts w:hint="eastAsia" w:ascii="仿宋" w:hAnsi="仿宋" w:cs="仿宋"/>
                <w:color w:val="auto"/>
                <w:kern w:val="0"/>
                <w:szCs w:val="32"/>
                <w:highlight w:val="none"/>
                <w:lang w:val="en-US" w:eastAsia="zh-CN"/>
              </w:rPr>
            </w:pPr>
          </w:p>
          <w:p w14:paraId="6577DD2A">
            <w:pPr>
              <w:ind w:left="0" w:leftChars="0" w:firstLine="0" w:firstLineChars="0"/>
              <w:rPr>
                <w:rFonts w:hint="eastAsia" w:ascii="仿宋" w:hAnsi="仿宋" w:cs="仿宋"/>
                <w:color w:val="auto"/>
                <w:kern w:val="0"/>
                <w:szCs w:val="32"/>
                <w:highlight w:val="none"/>
                <w:lang w:val="en-US" w:eastAsia="zh-CN"/>
              </w:rPr>
            </w:pPr>
          </w:p>
          <w:p w14:paraId="685604C0">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耕</w:t>
            </w:r>
          </w:p>
          <w:p w14:paraId="53CD6B12">
            <w:pPr>
              <w:pStyle w:val="35"/>
              <w:spacing w:before="78" w:line="232" w:lineRule="auto"/>
              <w:ind w:right="167"/>
              <w:jc w:val="both"/>
              <w:rPr>
                <w:rFonts w:hint="default" w:ascii="仿宋" w:hAnsi="仿宋" w:eastAsia="仿宋" w:cs="仿宋"/>
                <w:color w:val="auto"/>
                <w:kern w:val="0"/>
                <w:szCs w:val="32"/>
                <w:highlight w:val="none"/>
                <w:lang w:val="en-US" w:eastAsia="zh-CN"/>
              </w:rPr>
            </w:pPr>
            <w:r>
              <w:rPr>
                <w:rFonts w:hint="eastAsia" w:ascii="Times New Roman" w:hAnsi="Times New Roman" w:eastAsia="仿宋_GB2312" w:cs="Times New Roman"/>
                <w:snapToGrid w:val="0"/>
                <w:color w:val="000000"/>
                <w:kern w:val="2"/>
                <w:sz w:val="24"/>
                <w:szCs w:val="24"/>
                <w:highlight w:val="none"/>
                <w:lang w:val="en-US" w:eastAsia="zh-CN" w:bidi="ar-SA"/>
              </w:rPr>
              <w:t>地</w:t>
            </w:r>
          </w:p>
        </w:tc>
        <w:tc>
          <w:tcPr>
            <w:tcW w:w="7519" w:type="dxa"/>
            <w:vAlign w:val="top"/>
          </w:tcPr>
          <w:p w14:paraId="3C1214A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600" w:lineRule="exact"/>
              <w:ind w:left="0" w:right="0" w:firstLine="0"/>
              <w:jc w:val="both"/>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禁止任何单位和个人闲置、荒芜耕地。已经办理审批手续的非农业建设占用耕地，一年内不用而又可以耕种并收获的，应当由原耕种该幅耕地的集体或者个人恢复耕种，也可以由用地单位组织耕种；一年以上未动工建设的，应当按照规定缴纳闲置费；连续二年未使用的，经原批准机关批准，由县级以上人民政府无偿收回用地单位的土地使用权，该幅土地原为农民集体所有的，应当交由原农村集体经济组织恢复耕种。</w:t>
            </w:r>
          </w:p>
          <w:p w14:paraId="41E4A8FA">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600" w:lineRule="exact"/>
              <w:ind w:left="0" w:right="0" w:firstLine="0"/>
              <w:jc w:val="both"/>
              <w:rPr>
                <w:highlight w:val="none"/>
              </w:rPr>
            </w:pPr>
            <w:r>
              <w:rPr>
                <w:rFonts w:hint="eastAsia" w:ascii="Times New Roman" w:hAnsi="Times New Roman" w:eastAsia="仿宋_GB2312" w:cs="Times New Roman"/>
                <w:kern w:val="2"/>
                <w:sz w:val="24"/>
                <w:szCs w:val="24"/>
                <w:highlight w:val="none"/>
                <w:lang w:val="en-US" w:eastAsia="zh-CN" w:bidi="ar-SA"/>
                <w14:ligatures w14:val="none"/>
              </w:rPr>
              <w:t>禁止任何单位和个人在国土空间总体规划确定的禁止开垦的范围内从事土地开发活动。</w:t>
            </w:r>
          </w:p>
        </w:tc>
      </w:tr>
    </w:tbl>
    <w:tbl>
      <w:tblPr>
        <w:tblStyle w:val="34"/>
        <w:tblW w:w="8629" w:type="dxa"/>
        <w:tblInd w:w="-1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66"/>
        <w:gridCol w:w="7363"/>
      </w:tblGrid>
      <w:tr w14:paraId="6A9EF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8" w:hRule="atLeast"/>
        </w:trPr>
        <w:tc>
          <w:tcPr>
            <w:tcW w:w="1266" w:type="dxa"/>
            <w:noWrap w:val="0"/>
            <w:vAlign w:val="top"/>
          </w:tcPr>
          <w:p w14:paraId="33297E4E">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07D14998">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74AF024D">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12857141">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4EE322F4">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2F2F8184">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207751AA">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235EE3ED">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永</w:t>
            </w:r>
          </w:p>
          <w:p w14:paraId="302A12E8">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久</w:t>
            </w:r>
          </w:p>
          <w:p w14:paraId="2A138385">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基</w:t>
            </w:r>
          </w:p>
          <w:p w14:paraId="157658C1">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本</w:t>
            </w:r>
          </w:p>
          <w:p w14:paraId="4A213989">
            <w:pPr>
              <w:pStyle w:val="35"/>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农</w:t>
            </w:r>
          </w:p>
          <w:p w14:paraId="251924B6">
            <w:pPr>
              <w:pStyle w:val="35"/>
              <w:spacing w:before="78" w:line="232" w:lineRule="auto"/>
              <w:ind w:right="167"/>
              <w:jc w:val="both"/>
              <w:rPr>
                <w:highlight w:val="none"/>
              </w:rPr>
            </w:pPr>
            <w:r>
              <w:rPr>
                <w:rFonts w:hint="eastAsia" w:ascii="Times New Roman" w:hAnsi="Times New Roman" w:eastAsia="仿宋_GB2312" w:cs="Times New Roman"/>
                <w:snapToGrid w:val="0"/>
                <w:color w:val="000000"/>
                <w:kern w:val="2"/>
                <w:sz w:val="24"/>
                <w:szCs w:val="24"/>
                <w:highlight w:val="none"/>
                <w:lang w:val="en-US" w:eastAsia="zh-CN" w:bidi="ar-SA"/>
              </w:rPr>
              <w:t>田</w:t>
            </w:r>
          </w:p>
        </w:tc>
        <w:tc>
          <w:tcPr>
            <w:tcW w:w="7363" w:type="dxa"/>
            <w:noWrap w:val="0"/>
            <w:vAlign w:val="top"/>
          </w:tcPr>
          <w:p w14:paraId="43A7358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600" w:lineRule="exact"/>
              <w:ind w:left="0" w:right="0" w:firstLine="0"/>
              <w:jc w:val="both"/>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永久基本农田不得转为林地、草地、园地等其他农用地及农业设施建设用地。严禁占用永久基本农田发展林果业和挖塘养鱼；严禁占用永久基本农田种植苗木、草皮等用于绿化装饰以及其他破坏耕作层的植物；严禁占用永久基本农田挖湖造景、建设绿化带；严禁新增占用永久基本农田建设畜禽养殖设施、水产养殖设施和破坏耕作层的种植业设施。禁止闲置、荒芜、破坏永久基本农田行为。</w:t>
            </w:r>
          </w:p>
          <w:p w14:paraId="2242549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600" w:lineRule="exact"/>
              <w:ind w:left="0" w:right="0" w:firstLine="0"/>
              <w:jc w:val="both"/>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严格永久基本农田占用和补划。永久基本农田经依法划定后，任何单位和个人不得擅自占用或者改变其用途。国家能源、交通、水利、军事设施等重点项目确实难以避让永久基本农田的，涉及农用地转用或者土地征收的，必须经过国务院批准。一般建设项目不得占用永久基本农田；重大建设项目选址确实难以避让永久基本农田的，要按照“数量不减、质量不降、布局稳定”的要求，在储备区内选择数量相等、质量相当的地块进行补划。</w:t>
            </w:r>
          </w:p>
          <w:p w14:paraId="08C8D57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600" w:lineRule="exact"/>
              <w:ind w:left="0" w:right="0" w:firstLine="0"/>
              <w:jc w:val="both"/>
              <w:rPr>
                <w:highlight w:val="none"/>
              </w:rPr>
            </w:pPr>
            <w:r>
              <w:rPr>
                <w:rFonts w:hint="eastAsia" w:ascii="Times New Roman" w:hAnsi="Times New Roman" w:eastAsia="仿宋_GB2312" w:cs="Times New Roman"/>
                <w:kern w:val="2"/>
                <w:sz w:val="24"/>
                <w:szCs w:val="24"/>
                <w:highlight w:val="none"/>
                <w:lang w:val="en-US" w:eastAsia="zh-CN" w:bidi="ar-SA"/>
                <w14:ligatures w14:val="none"/>
              </w:rPr>
              <w:t>非农建设依法占用永久基本农田的，建设单位应当将所占用耕地耕作层的土壤用于新开垦的耕地、劣质地或其他耕地的土壤改良。</w:t>
            </w:r>
          </w:p>
        </w:tc>
      </w:tr>
    </w:tbl>
    <w:p w14:paraId="241EC21A">
      <w:pPr>
        <w:keepNext w:val="0"/>
        <w:keepLines w:val="0"/>
        <w:pageBreakBefore w:val="0"/>
        <w:kinsoku/>
        <w:wordWrap/>
        <w:overflowPunct/>
        <w:topLinePunct w:val="0"/>
        <w:autoSpaceDE/>
        <w:autoSpaceDN/>
        <w:bidi w:val="0"/>
        <w:adjustRightInd/>
        <w:snapToGrid/>
        <w:spacing w:line="600" w:lineRule="exact"/>
        <w:ind w:left="0" w:leftChars="0" w:firstLine="0" w:firstLineChars="0"/>
        <w:textAlignment w:val="auto"/>
        <w:rPr>
          <w:rFonts w:hint="eastAsia"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第19条  生态保护红线</w:t>
      </w:r>
    </w:p>
    <w:p w14:paraId="4AC9D088">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根据上位规划划定泥尔河乡无生态保护红线。</w:t>
      </w:r>
    </w:p>
    <w:p w14:paraId="3B8DF10C">
      <w:pPr>
        <w:keepNext w:val="0"/>
        <w:keepLines w:val="0"/>
        <w:pageBreakBefore w:val="0"/>
        <w:kinsoku/>
        <w:wordWrap/>
        <w:overflowPunct/>
        <w:topLinePunct w:val="0"/>
        <w:autoSpaceDE/>
        <w:autoSpaceDN/>
        <w:bidi w:val="0"/>
        <w:adjustRightInd/>
        <w:snapToGrid/>
        <w:spacing w:line="600" w:lineRule="exact"/>
        <w:ind w:left="0" w:leftChars="0" w:firstLine="0" w:firstLineChars="0"/>
        <w:textAlignment w:val="auto"/>
        <w:rPr>
          <w:rFonts w:hint="default"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第20条  城镇开发边界</w:t>
      </w:r>
    </w:p>
    <w:p w14:paraId="43831CE5">
      <w:pPr>
        <w:pageBreakBefore w:val="0"/>
        <w:wordWrap/>
        <w:overflowPunct/>
        <w:bidi w:val="0"/>
        <w:spacing w:line="600" w:lineRule="exact"/>
        <w:ind w:left="0" w:leftChars="0" w:firstLine="0" w:firstLineChars="0"/>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根据上位规划划定泥尔河乡无城镇开发边界。根据黑龙江省乡镇级规划编制指南城乡建设空间要求，补充划定乡政府驻地村庄建设边界。</w:t>
      </w:r>
    </w:p>
    <w:p w14:paraId="3C90745B">
      <w:pPr>
        <w:pageBreakBefore w:val="0"/>
        <w:wordWrap/>
        <w:overflowPunct/>
        <w:bidi w:val="0"/>
        <w:spacing w:line="600" w:lineRule="exact"/>
        <w:ind w:left="0" w:leftChars="0" w:firstLine="640" w:firstLineChars="200"/>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严格保护农产品主产区的耕地、永久基本农田和生态空间。鼓励开展土地复垦整治，对于</w:t>
      </w:r>
      <w:r>
        <w:rPr>
          <w:rFonts w:hint="eastAsia" w:ascii="Times New Roman" w:hAnsi="Times New Roman" w:eastAsia="仿宋_GB2312" w:cs="Times New Roman"/>
          <w:kern w:val="2"/>
          <w:sz w:val="32"/>
          <w:szCs w:val="22"/>
          <w:highlight w:val="none"/>
          <w:lang w:val="en-US" w:eastAsia="zh-CN" w:bidi="ar-SA"/>
          <w14:ligatures w14:val="none"/>
        </w:rPr>
        <w:t>乡村</w:t>
      </w:r>
      <w:r>
        <w:rPr>
          <w:rFonts w:hint="default" w:ascii="Times New Roman" w:hAnsi="Times New Roman" w:eastAsia="仿宋_GB2312" w:cs="Times New Roman"/>
          <w:kern w:val="2"/>
          <w:sz w:val="32"/>
          <w:szCs w:val="22"/>
          <w:highlight w:val="none"/>
          <w:lang w:val="en-US" w:eastAsia="zh-CN" w:bidi="ar-SA"/>
          <w14:ligatures w14:val="none"/>
        </w:rPr>
        <w:t>空间腾退置换出的建设用地，符合条件的优先转化为农业空间或生态空间。</w:t>
      </w:r>
    </w:p>
    <w:p w14:paraId="178AAC37">
      <w:pPr>
        <w:pStyle w:val="9"/>
        <w:pageBreakBefore w:val="0"/>
        <w:kinsoku/>
        <w:wordWrap/>
        <w:overflowPunct/>
        <w:topLinePunct w:val="0"/>
        <w:autoSpaceDE/>
        <w:autoSpaceDN/>
        <w:bidi w:val="0"/>
        <w:adjustRightInd/>
        <w:snapToGrid/>
        <w:spacing w:line="600" w:lineRule="exact"/>
        <w:textAlignment w:val="auto"/>
        <w:rPr>
          <w:rFonts w:hint="default"/>
          <w:highlight w:val="none"/>
          <w:lang w:val="en-US" w:eastAsia="zh-CN"/>
        </w:rPr>
      </w:pPr>
    </w:p>
    <w:p w14:paraId="3021BA72">
      <w:pPr>
        <w:pageBreakBefore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b w:val="0"/>
          <w:bCs/>
          <w:kern w:val="2"/>
          <w:sz w:val="32"/>
          <w:szCs w:val="32"/>
          <w:highlight w:val="none"/>
          <w:lang w:val="en-US" w:eastAsia="zh-CN" w:bidi="ar-SA"/>
        </w:rPr>
      </w:pPr>
      <w:bookmarkStart w:id="125" w:name="_Toc3587"/>
      <w:r>
        <w:rPr>
          <w:rFonts w:hint="eastAsia" w:ascii="黑体" w:hAnsi="黑体" w:eastAsia="黑体" w:cs="黑体"/>
          <w:b w:val="0"/>
          <w:bCs/>
          <w:kern w:val="2"/>
          <w:sz w:val="32"/>
          <w:szCs w:val="32"/>
          <w:highlight w:val="none"/>
          <w:lang w:val="en-US" w:eastAsia="zh-CN" w:bidi="ar-SA"/>
        </w:rPr>
        <w:t>第二节  区域协调发展</w:t>
      </w:r>
      <w:bookmarkEnd w:id="125"/>
    </w:p>
    <w:p w14:paraId="10BCD56A">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第21条  促进与绥棱县的联系，推进乡村高质量发展</w:t>
      </w:r>
      <w:bookmarkEnd w:id="121"/>
      <w:bookmarkEnd w:id="122"/>
      <w:bookmarkEnd w:id="123"/>
      <w:bookmarkEnd w:id="124"/>
    </w:p>
    <w:p w14:paraId="16892041">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根据《绥棱县国民经济和社会发展第十四个五年规划和2035年远景目标纲要》，首先，绥棱县坚持农业农村优先发展，加快农业大县向现代农业强县转变；其次，绥棱县推进完善现代化交通基础设施建设；最后，绥棱县继续扎实推进生态文明建设。</w:t>
      </w:r>
    </w:p>
    <w:p w14:paraId="500E5501">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用地方面，泥尔河乡地处绥棱县东南部，加强同绥棱县的合作，规划完善建设泥尔河乡的生活区、产业区，推动泥尔河乡与绥棱县的经济流通。</w:t>
      </w:r>
    </w:p>
    <w:p w14:paraId="56164F1E">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产业方面，强化泥尔河乡农业科技和装备支撑，提升农产品初加工和精深加工质量、促进全产业链安全稳定，推进农业绿色发展全过程转型、全链条升级以及全环节覆盖，完善粮食与生态安全利益补偿机制，不断提高粮食和重要农产品供给保障水平，为绥棱县提供农产品支撑。</w:t>
      </w:r>
    </w:p>
    <w:p w14:paraId="70F6B131">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交通方面，推进泥尔河乡对外交通廊道—国道333、省道501、县道301、乡道202的升级改造；完善公路养护体系，进一步提高公路养护水平。</w:t>
      </w:r>
    </w:p>
    <w:p w14:paraId="2022D2F9">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生态方面，坚持生态优先，以努敏河自然保护带为基础，加强对努敏河流域湿地的生态保护和高质量发展，建立乡域自然保护地体系、乡域生态保护管理区、水渠生态保护廊道、原始森林保育核心，确保区域生态安全，筑牢绥棱县的生态屏障。</w:t>
      </w:r>
    </w:p>
    <w:p w14:paraId="5388EDA5">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bookmarkStart w:id="126" w:name="_Toc11110"/>
      <w:bookmarkStart w:id="127" w:name="_Toc32448"/>
      <w:bookmarkStart w:id="128" w:name="_Toc14035"/>
      <w:bookmarkStart w:id="129" w:name="_Toc3758"/>
      <w:r>
        <w:rPr>
          <w:rFonts w:hint="eastAsia" w:ascii="楷体" w:hAnsi="楷体" w:eastAsia="楷体" w:cs="楷体"/>
          <w:b w:val="0"/>
          <w:bCs w:val="0"/>
          <w:snapToGrid w:val="0"/>
          <w:color w:val="000000"/>
          <w:spacing w:val="-11"/>
          <w:kern w:val="0"/>
          <w:sz w:val="32"/>
          <w:szCs w:val="32"/>
          <w:highlight w:val="none"/>
          <w:lang w:val="en-US" w:eastAsia="zh-CN"/>
        </w:rPr>
        <w:t>第22条  联通周边乡镇进行协调发展</w:t>
      </w:r>
      <w:bookmarkEnd w:id="126"/>
      <w:bookmarkEnd w:id="127"/>
      <w:bookmarkEnd w:id="128"/>
      <w:bookmarkEnd w:id="129"/>
    </w:p>
    <w:p w14:paraId="2380B7B0">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根据《绥棱县国民经济和社会发展第十四个五年规划和2035年远景目标纲要》，以上集镇为中心，辐射泥尔河乡、长山镇、阁山镇、后头乡和靠山乡的部分区域，打造成“V”字型水稻生产主产区、水田现代农业示范区。</w:t>
      </w:r>
    </w:p>
    <w:p w14:paraId="040CE7F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泥尔河乡建成以农业为依托，以技术为手段延长产业链的农产品加工产业；以上集镇为中心，与靠山乡、长山镇、阁山镇、后头乡发展绿色水稻产业化开发，稳步提升粮食综合生产能力，打造优质绿色安全农产品生产基地，并依托电商销售平台等形式建立产销结合的稳定销售渠道，推动农业和产业在各个乡村的融合发展</w:t>
      </w:r>
      <w:r>
        <w:rPr>
          <w:rFonts w:hint="default" w:ascii="Times New Roman" w:hAnsi="Times New Roman" w:eastAsia="仿宋_GB2312" w:cs="Times New Roman"/>
          <w:kern w:val="2"/>
          <w:sz w:val="32"/>
          <w:szCs w:val="22"/>
          <w:highlight w:val="none"/>
          <w:lang w:val="en-US" w:eastAsia="zh-CN" w:bidi="ar-SA"/>
          <w14:ligatures w14:val="none"/>
        </w:rPr>
        <w:t>。</w:t>
      </w:r>
    </w:p>
    <w:bookmarkEnd w:id="109"/>
    <w:bookmarkEnd w:id="110"/>
    <w:bookmarkEnd w:id="111"/>
    <w:bookmarkEnd w:id="112"/>
    <w:bookmarkEnd w:id="113"/>
    <w:bookmarkEnd w:id="114"/>
    <w:bookmarkEnd w:id="115"/>
    <w:bookmarkEnd w:id="116"/>
    <w:p w14:paraId="5E6CE7CF">
      <w:pPr>
        <w:ind w:left="0" w:leftChars="0" w:firstLine="0" w:firstLineChars="0"/>
        <w:rPr>
          <w:rFonts w:hint="eastAsia" w:ascii="黑体" w:hAnsi="黑体" w:eastAsia="黑体" w:cs="黑体"/>
          <w:b w:val="0"/>
          <w:bCs/>
          <w:kern w:val="2"/>
          <w:sz w:val="32"/>
          <w:szCs w:val="32"/>
          <w:highlight w:val="none"/>
          <w:lang w:val="en-US" w:eastAsia="zh-CN" w:bidi="ar-SA"/>
        </w:rPr>
      </w:pPr>
      <w:bookmarkStart w:id="130" w:name="_Toc13634"/>
      <w:bookmarkStart w:id="131" w:name="_Toc25761"/>
      <w:bookmarkStart w:id="132" w:name="_Toc15174"/>
      <w:bookmarkStart w:id="133" w:name="_Toc2094612685"/>
      <w:bookmarkStart w:id="134" w:name="_Toc12648"/>
      <w:bookmarkStart w:id="135" w:name="_Toc29349"/>
      <w:bookmarkStart w:id="136" w:name="_Toc17916"/>
      <w:bookmarkStart w:id="137" w:name="_Toc13452"/>
      <w:bookmarkStart w:id="138" w:name="_Toc11257"/>
      <w:bookmarkStart w:id="139" w:name="_Toc12378"/>
      <w:bookmarkStart w:id="140" w:name="_Toc6607"/>
      <w:bookmarkStart w:id="141" w:name="_Toc32098"/>
      <w:bookmarkStart w:id="142" w:name="_Hlk134362378"/>
    </w:p>
    <w:p w14:paraId="39EE73B7">
      <w:pPr>
        <w:ind w:left="0" w:leftChars="0" w:firstLine="0" w:firstLineChars="0"/>
        <w:jc w:val="center"/>
        <w:rPr>
          <w:rFonts w:hint="default"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 xml:space="preserve">第三节  </w:t>
      </w:r>
      <w:bookmarkEnd w:id="130"/>
      <w:bookmarkEnd w:id="131"/>
      <w:bookmarkEnd w:id="132"/>
      <w:bookmarkEnd w:id="133"/>
      <w:bookmarkEnd w:id="134"/>
      <w:bookmarkEnd w:id="135"/>
      <w:bookmarkEnd w:id="136"/>
      <w:bookmarkEnd w:id="137"/>
      <w:bookmarkEnd w:id="138"/>
      <w:bookmarkEnd w:id="139"/>
      <w:bookmarkEnd w:id="140"/>
      <w:bookmarkEnd w:id="141"/>
      <w:r>
        <w:rPr>
          <w:rFonts w:hint="eastAsia" w:ascii="黑体" w:hAnsi="黑体" w:eastAsia="黑体" w:cs="黑体"/>
          <w:b w:val="0"/>
          <w:bCs/>
          <w:kern w:val="2"/>
          <w:sz w:val="32"/>
          <w:szCs w:val="32"/>
          <w:highlight w:val="none"/>
          <w:lang w:val="en-US" w:eastAsia="zh-CN" w:bidi="ar-SA"/>
        </w:rPr>
        <w:t>总体空间格局</w:t>
      </w:r>
    </w:p>
    <w:p w14:paraId="3B210554">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bookmarkStart w:id="143" w:name="_Toc2860"/>
      <w:bookmarkStart w:id="144" w:name="_Toc5725"/>
      <w:bookmarkStart w:id="145" w:name="_Toc30162"/>
      <w:bookmarkStart w:id="146" w:name="_Toc9658"/>
      <w:r>
        <w:rPr>
          <w:rFonts w:hint="eastAsia" w:ascii="楷体" w:hAnsi="楷体" w:eastAsia="楷体" w:cs="楷体"/>
          <w:b w:val="0"/>
          <w:bCs w:val="0"/>
          <w:snapToGrid w:val="0"/>
          <w:color w:val="000000"/>
          <w:spacing w:val="-11"/>
          <w:kern w:val="0"/>
          <w:sz w:val="32"/>
          <w:szCs w:val="32"/>
          <w:highlight w:val="none"/>
          <w:lang w:val="en-US" w:eastAsia="zh-CN"/>
        </w:rPr>
        <w:t>第23条  国土空间开发保护格局</w:t>
      </w:r>
      <w:bookmarkEnd w:id="143"/>
      <w:bookmarkEnd w:id="144"/>
      <w:bookmarkEnd w:id="145"/>
      <w:bookmarkEnd w:id="146"/>
    </w:p>
    <w:bookmarkEnd w:id="142"/>
    <w:p w14:paraId="5B15BFFA">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bookmarkStart w:id="147" w:name="_Toc6541"/>
      <w:bookmarkStart w:id="148" w:name="_Toc4802"/>
      <w:r>
        <w:rPr>
          <w:rFonts w:hint="eastAsia" w:ascii="Times New Roman" w:hAnsi="Times New Roman" w:eastAsia="仿宋_GB2312" w:cs="Times New Roman"/>
          <w:kern w:val="2"/>
          <w:sz w:val="32"/>
          <w:szCs w:val="22"/>
          <w:highlight w:val="none"/>
          <w:lang w:val="en-US" w:eastAsia="zh-CN" w:bidi="ar-SA"/>
          <w14:ligatures w14:val="none"/>
        </w:rPr>
        <w:t>遵循自然地理格局和生态经济社会发展规律，强化生态屏障构筑与生态廊道建设，保障国家粮食安全，以“点轴带动、耕地保护”为导向，形成“一核一轴三区”的国土空间开发保护格局。</w:t>
      </w:r>
    </w:p>
    <w:p w14:paraId="3A7AB5EC">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 xml:space="preserve">“一核”是指进军村的一、七和八组自然屯所在地，即乡政府所在地，将乡政府所在地打造成基础设施完善、空间用地集聚的泥尔河乡发展核心。 </w:t>
      </w:r>
    </w:p>
    <w:p w14:paraId="6052E0FA">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 xml:space="preserve">“一轴”是指乡域内县道301与两条交通主线即国道333和省道501联结构成乡域交通格局。 </w:t>
      </w:r>
    </w:p>
    <w:p w14:paraId="61317AF0">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“三区”是指进军、抚北和卫星村构成的一个村庄集群，作为下阶段乡村开发保护的重点；</w:t>
      </w:r>
      <w:r>
        <w:rPr>
          <w:rFonts w:hint="eastAsia" w:ascii="Times New Roman" w:hAnsi="Times New Roman" w:eastAsia="仿宋_GB2312" w:cs="Times New Roman"/>
          <w:kern w:val="2"/>
          <w:sz w:val="32"/>
          <w:szCs w:val="22"/>
          <w:highlight w:val="none"/>
          <w:lang w:val="en-US" w:eastAsia="zh-CN" w:bidi="ar-SA"/>
        </w:rPr>
        <w:t>围绕省道501附近的</w:t>
      </w:r>
      <w:r>
        <w:rPr>
          <w:rFonts w:hint="eastAsia" w:ascii="Times New Roman" w:hAnsi="Times New Roman" w:eastAsia="仿宋_GB2312" w:cs="Times New Roman"/>
          <w:color w:val="auto"/>
          <w:kern w:val="2"/>
          <w:sz w:val="32"/>
          <w:szCs w:val="22"/>
          <w:highlight w:val="none"/>
          <w:lang w:val="en-US" w:eastAsia="zh-CN" w:bidi="ar-SA"/>
        </w:rPr>
        <w:t>跃进村、勇敢村、</w:t>
      </w:r>
      <w:r>
        <w:rPr>
          <w:rFonts w:hint="eastAsia" w:ascii="Times New Roman" w:hAnsi="Times New Roman" w:eastAsia="仿宋_GB2312" w:cs="Times New Roman"/>
          <w:kern w:val="2"/>
          <w:sz w:val="32"/>
          <w:szCs w:val="22"/>
          <w:highlight w:val="none"/>
          <w:lang w:val="en-US" w:eastAsia="zh-CN" w:bidi="ar-SA"/>
        </w:rPr>
        <w:t>青山村为一个发展集群</w:t>
      </w:r>
      <w:r>
        <w:rPr>
          <w:rFonts w:hint="eastAsia" w:ascii="Times New Roman" w:hAnsi="Times New Roman" w:eastAsia="仿宋_GB2312" w:cs="Times New Roman"/>
          <w:kern w:val="2"/>
          <w:sz w:val="32"/>
          <w:szCs w:val="22"/>
          <w:highlight w:val="none"/>
          <w:lang w:val="en-US" w:eastAsia="zh-CN" w:bidi="ar-SA"/>
          <w14:ligatures w14:val="none"/>
        </w:rPr>
        <w:t>；国道333东侧，双丰和永发村为一个发展集群。</w:t>
      </w:r>
    </w:p>
    <w:p w14:paraId="169ACEF4">
      <w:pPr>
        <w:pStyle w:val="3"/>
        <w:keepNext/>
        <w:keepLines/>
        <w:pageBreakBefore w:val="0"/>
        <w:widowControl w:val="0"/>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outlineLvl w:val="1"/>
        <w:rPr>
          <w:rFonts w:hint="eastAsia" w:ascii="仿宋" w:hAnsi="仿宋" w:cs="仿宋"/>
          <w:b/>
          <w:bCs/>
          <w:snapToGrid w:val="0"/>
          <w:color w:val="000000"/>
          <w:spacing w:val="-11"/>
          <w:kern w:val="0"/>
          <w:sz w:val="28"/>
          <w:szCs w:val="28"/>
          <w:highlight w:val="none"/>
          <w:lang w:val="en-US" w:eastAsia="zh-CN"/>
        </w:rPr>
      </w:pPr>
      <w:bookmarkStart w:id="149" w:name="_Toc19604"/>
      <w:bookmarkStart w:id="150" w:name="_Toc28290"/>
      <w:r>
        <w:rPr>
          <w:rFonts w:hint="eastAsia" w:ascii="黑体" w:hAnsi="黑体" w:eastAsia="黑体" w:cs="黑体"/>
          <w:b w:val="0"/>
          <w:bCs/>
          <w:kern w:val="2"/>
          <w:sz w:val="32"/>
          <w:szCs w:val="32"/>
          <w:highlight w:val="none"/>
          <w:lang w:val="en-US" w:eastAsia="zh-CN" w:bidi="ar-SA"/>
        </w:rPr>
        <w:t>第</w:t>
      </w:r>
      <w:r>
        <w:rPr>
          <w:rFonts w:hint="eastAsia" w:ascii="黑体" w:hAnsi="黑体" w:cs="黑体"/>
          <w:b w:val="0"/>
          <w:bCs/>
          <w:kern w:val="2"/>
          <w:sz w:val="32"/>
          <w:szCs w:val="32"/>
          <w:highlight w:val="none"/>
          <w:lang w:val="en-US" w:eastAsia="zh-CN" w:bidi="ar-SA"/>
        </w:rPr>
        <w:t>四</w:t>
      </w:r>
      <w:r>
        <w:rPr>
          <w:rFonts w:hint="eastAsia" w:ascii="黑体" w:hAnsi="黑体" w:eastAsia="黑体" w:cs="黑体"/>
          <w:b w:val="0"/>
          <w:bCs/>
          <w:kern w:val="2"/>
          <w:sz w:val="32"/>
          <w:szCs w:val="32"/>
          <w:highlight w:val="none"/>
          <w:lang w:val="en-US" w:eastAsia="zh-CN" w:bidi="ar-SA"/>
        </w:rPr>
        <w:t xml:space="preserve">节 </w:t>
      </w:r>
      <w:r>
        <w:rPr>
          <w:rFonts w:hint="eastAsia" w:ascii="黑体" w:hAnsi="黑体" w:cs="黑体"/>
          <w:b w:val="0"/>
          <w:bCs/>
          <w:kern w:val="2"/>
          <w:sz w:val="32"/>
          <w:szCs w:val="32"/>
          <w:highlight w:val="none"/>
          <w:lang w:val="en-US" w:eastAsia="zh-CN" w:bidi="ar-SA"/>
        </w:rPr>
        <w:t xml:space="preserve"> 规划分区</w:t>
      </w:r>
    </w:p>
    <w:p w14:paraId="52D036EE">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第24条  统筹细化规划分区</w:t>
      </w:r>
      <w:bookmarkEnd w:id="147"/>
      <w:bookmarkEnd w:id="148"/>
      <w:bookmarkEnd w:id="149"/>
      <w:bookmarkEnd w:id="150"/>
    </w:p>
    <w:p w14:paraId="5CBFB78A">
      <w:pPr>
        <w:pageBreakBefore w:val="0"/>
        <w:widowControl/>
        <w:wordWrap/>
        <w:overflowPunct/>
        <w:topLinePunct w:val="0"/>
        <w:bidi w:val="0"/>
        <w:spacing w:line="600" w:lineRule="exact"/>
        <w:ind w:firstLine="640"/>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以泥尔河乡资源环境承载力和国土空间开发适宜性为基础，合理控制国土开发强度，统筹安排生态、农业、乡村等功能空间，以国土空间的保护与保留、开发与利用两大管控属性为基础合理配置空间资源，在乡域层面泥尔河乡功能分区划分为生态控制区、农田保护区、乡村发展区和矿产能源发展区四类。</w:t>
      </w:r>
    </w:p>
    <w:p w14:paraId="78E48FC1">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bookmarkStart w:id="151" w:name="_Toc27685"/>
      <w:bookmarkStart w:id="152" w:name="_Toc28150"/>
      <w:r>
        <w:rPr>
          <w:rFonts w:hint="eastAsia" w:ascii="楷体" w:hAnsi="楷体" w:eastAsia="楷体" w:cs="楷体"/>
          <w:b w:val="0"/>
          <w:bCs w:val="0"/>
          <w:snapToGrid w:val="0"/>
          <w:color w:val="000000"/>
          <w:spacing w:val="-11"/>
          <w:kern w:val="0"/>
          <w:sz w:val="32"/>
          <w:szCs w:val="32"/>
          <w:highlight w:val="none"/>
          <w:lang w:val="en-US" w:eastAsia="zh-CN"/>
        </w:rPr>
        <w:t>第25条  规划分区管控要求</w:t>
      </w:r>
    </w:p>
    <w:p w14:paraId="5E4F44F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生态控制区采取“名录管理</w:t>
      </w:r>
      <w:r>
        <w:rPr>
          <w:rFonts w:hint="default" w:ascii="Times New Roman" w:hAnsi="Times New Roman" w:eastAsia="仿宋_GB2312" w:cs="Times New Roman"/>
          <w:kern w:val="2"/>
          <w:sz w:val="32"/>
          <w:szCs w:val="22"/>
          <w:highlight w:val="none"/>
          <w:lang w:val="en-US" w:eastAsia="zh-CN" w:bidi="ar-SA"/>
          <w14:ligatures w14:val="none"/>
        </w:rPr>
        <w:t>+</w:t>
      </w:r>
      <w:r>
        <w:rPr>
          <w:rFonts w:hint="eastAsia" w:ascii="Times New Roman" w:hAnsi="Times New Roman" w:eastAsia="仿宋_GB2312" w:cs="Times New Roman"/>
          <w:kern w:val="2"/>
          <w:sz w:val="32"/>
          <w:szCs w:val="22"/>
          <w:highlight w:val="none"/>
          <w:lang w:val="en-US" w:eastAsia="zh-CN" w:bidi="ar-SA"/>
          <w14:ligatures w14:val="none"/>
        </w:rPr>
        <w:t>约束指标</w:t>
      </w:r>
      <w:r>
        <w:rPr>
          <w:rFonts w:hint="default" w:ascii="Times New Roman" w:hAnsi="Times New Roman" w:eastAsia="仿宋_GB2312" w:cs="Times New Roman"/>
          <w:kern w:val="2"/>
          <w:sz w:val="32"/>
          <w:szCs w:val="22"/>
          <w:highlight w:val="none"/>
          <w:lang w:val="en-US" w:eastAsia="zh-CN" w:bidi="ar-SA"/>
          <w14:ligatures w14:val="none"/>
        </w:rPr>
        <w:t>+</w:t>
      </w:r>
      <w:r>
        <w:rPr>
          <w:rFonts w:hint="eastAsia" w:ascii="Times New Roman" w:hAnsi="Times New Roman" w:eastAsia="仿宋_GB2312" w:cs="Times New Roman"/>
          <w:kern w:val="2"/>
          <w:sz w:val="32"/>
          <w:szCs w:val="22"/>
          <w:highlight w:val="none"/>
          <w:lang w:val="en-US" w:eastAsia="zh-CN" w:bidi="ar-SA"/>
          <w14:ligatures w14:val="none"/>
        </w:rPr>
        <w:t>分区准入”相结合的方式细化管理规定，以保护为主，按照限制开发的要求进行管理，允许在不降低生态功能、不破坏自然生态系统、符合准入条件的前提下适度开发利用。</w:t>
      </w:r>
    </w:p>
    <w:p w14:paraId="2F89294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农田保护区按照永久基本农田保护的相关法律法规进行管理，区内从严管控非农建设占用永久基本农田，鼓励开展高标准农田建设和土地整治，提高永久基本农田质量。</w:t>
      </w:r>
    </w:p>
    <w:p w14:paraId="067323B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乡村发展区以促进农业和乡村特色产业发展、改善农民生产生活条件为导向，按照“详细规划</w:t>
      </w:r>
      <w:r>
        <w:rPr>
          <w:rFonts w:hint="default" w:ascii="Times New Roman" w:hAnsi="Times New Roman" w:eastAsia="仿宋_GB2312" w:cs="Times New Roman"/>
          <w:kern w:val="2"/>
          <w:sz w:val="32"/>
          <w:szCs w:val="22"/>
          <w:highlight w:val="none"/>
          <w:lang w:val="en-US" w:eastAsia="zh-CN" w:bidi="ar-SA"/>
          <w14:ligatures w14:val="none"/>
        </w:rPr>
        <w:t>+</w:t>
      </w:r>
      <w:r>
        <w:rPr>
          <w:rFonts w:hint="eastAsia" w:ascii="Times New Roman" w:hAnsi="Times New Roman" w:eastAsia="仿宋_GB2312" w:cs="Times New Roman"/>
          <w:kern w:val="2"/>
          <w:sz w:val="32"/>
          <w:szCs w:val="22"/>
          <w:highlight w:val="none"/>
          <w:lang w:val="en-US" w:eastAsia="zh-CN" w:bidi="ar-SA"/>
          <w14:ligatures w14:val="none"/>
        </w:rPr>
        <w:t>规划许可”和“约束指标</w:t>
      </w:r>
      <w:r>
        <w:rPr>
          <w:rFonts w:hint="default" w:ascii="Times New Roman" w:hAnsi="Times New Roman" w:eastAsia="仿宋_GB2312" w:cs="Times New Roman"/>
          <w:kern w:val="2"/>
          <w:sz w:val="32"/>
          <w:szCs w:val="22"/>
          <w:highlight w:val="none"/>
          <w:lang w:val="en-US" w:eastAsia="zh-CN" w:bidi="ar-SA"/>
          <w14:ligatures w14:val="none"/>
        </w:rPr>
        <w:t>+</w:t>
      </w:r>
      <w:r>
        <w:rPr>
          <w:rFonts w:hint="eastAsia" w:ascii="Times New Roman" w:hAnsi="Times New Roman" w:eastAsia="仿宋_GB2312" w:cs="Times New Roman"/>
          <w:kern w:val="2"/>
          <w:sz w:val="32"/>
          <w:szCs w:val="22"/>
          <w:highlight w:val="none"/>
          <w:lang w:val="en-US" w:eastAsia="zh-CN" w:bidi="ar-SA"/>
          <w14:ligatures w14:val="none"/>
        </w:rPr>
        <w:t>分区准入”的方式，根据具体土地用途类型进行管理。统筹协调村庄建设、农田和生态保护。</w:t>
      </w:r>
    </w:p>
    <w:p w14:paraId="1385D6A4">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矿产能源发展区对矿产资源开发进行合理布局，严格矿产资源开采规划准入管理，严禁在水源保护区、自然保护地等环境敏感区、重要生态功能保护区内开发利用矿产资源。</w:t>
      </w:r>
    </w:p>
    <w:p w14:paraId="7054DE3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第26条  生态控制区</w:t>
      </w:r>
      <w:bookmarkEnd w:id="151"/>
      <w:bookmarkEnd w:id="152"/>
    </w:p>
    <w:p w14:paraId="2DF85DA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根据泥尔河乡自然生态基础，结合山水林田草等自然资源条件，加强农田、林地、草地生态治理，筑牢生态廊道连通性和完整性，以努敏河为根基，包括泥尔河乡的努敏河以及泥尔河乡西部的湿地、林地等。生态控制区原则上限制开发建设行为及种植、养殖活动，允许开展生态保育、生态修复和国土综合整治的建设行为。</w:t>
      </w:r>
    </w:p>
    <w:p w14:paraId="35E4B1CD">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bookmarkStart w:id="153" w:name="_Toc14007"/>
      <w:bookmarkStart w:id="154" w:name="_Toc1908"/>
      <w:r>
        <w:rPr>
          <w:rFonts w:hint="eastAsia" w:ascii="楷体" w:hAnsi="楷体" w:eastAsia="楷体" w:cs="楷体"/>
          <w:b w:val="0"/>
          <w:bCs w:val="0"/>
          <w:snapToGrid w:val="0"/>
          <w:color w:val="000000"/>
          <w:spacing w:val="-11"/>
          <w:kern w:val="0"/>
          <w:sz w:val="32"/>
          <w:szCs w:val="32"/>
          <w:highlight w:val="none"/>
          <w:lang w:val="en-US" w:eastAsia="zh-CN"/>
        </w:rPr>
        <w:t>第27条  农田保护区</w:t>
      </w:r>
      <w:bookmarkEnd w:id="153"/>
      <w:bookmarkEnd w:id="154"/>
    </w:p>
    <w:p w14:paraId="546E739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主要是为了维护粮食安全，以稳定耕地为主的永久基本农田相对集中需严格保护的区域。</w:t>
      </w:r>
    </w:p>
    <w:p w14:paraId="3CA46280">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农田保护区从严管控非农建设占用，鼓励开展高标准农田建设和土地整治，提高永久基本农田质量，为实施国家重大交通、能源、水利及军事用地，经批准占用永久基本农田集中保护区的，原则上分区不作调整。</w:t>
      </w:r>
    </w:p>
    <w:p w14:paraId="7179AC3F">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bookmarkStart w:id="155" w:name="_Toc27200"/>
      <w:bookmarkStart w:id="156" w:name="_Toc30394"/>
      <w:r>
        <w:rPr>
          <w:rFonts w:hint="eastAsia" w:ascii="楷体" w:hAnsi="楷体" w:eastAsia="楷体" w:cs="楷体"/>
          <w:b w:val="0"/>
          <w:bCs w:val="0"/>
          <w:snapToGrid w:val="0"/>
          <w:color w:val="000000"/>
          <w:spacing w:val="-11"/>
          <w:kern w:val="0"/>
          <w:sz w:val="32"/>
          <w:szCs w:val="32"/>
          <w:highlight w:val="none"/>
          <w:lang w:val="en-US" w:eastAsia="zh-CN"/>
        </w:rPr>
        <w:t>第28条  乡村发展区</w:t>
      </w:r>
      <w:bookmarkEnd w:id="155"/>
      <w:bookmarkEnd w:id="156"/>
    </w:p>
    <w:p w14:paraId="3B8BB2C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农田保护区外，为满足农林牧渔等农业发展以及农民集中生活和生产配套为主的区域。</w:t>
      </w:r>
      <w:r>
        <w:rPr>
          <w:rFonts w:hint="eastAsia" w:ascii="Times New Roman" w:hAnsi="Times New Roman" w:eastAsia="仿宋_GB2312" w:cs="Times New Roman"/>
          <w:kern w:val="2"/>
          <w:sz w:val="32"/>
          <w:szCs w:val="22"/>
          <w:highlight w:val="none"/>
          <w:u w:val="none"/>
          <w:lang w:val="en-US" w:eastAsia="zh-CN" w:bidi="ar-SA"/>
          <w14:ligatures w14:val="none"/>
        </w:rPr>
        <w:t>村庄建设区主要分布在各村村委会与乡政府驻地范围内。区内可以进行乡村开发和集中建设，实行“详细规划+规划许可”的管制方式，按照村庄集中建设区特别用途区进行分类管理。</w:t>
      </w:r>
    </w:p>
    <w:p w14:paraId="5771456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u w:val="none"/>
          <w:lang w:val="en-US" w:eastAsia="zh-CN" w:bidi="ar-SA"/>
          <w14:ligatures w14:val="none"/>
        </w:rPr>
        <w:t>一般农业</w:t>
      </w:r>
      <w:r>
        <w:rPr>
          <w:rFonts w:hint="eastAsia" w:ascii="Times New Roman" w:hAnsi="Times New Roman" w:eastAsia="仿宋_GB2312" w:cs="Times New Roman"/>
          <w:kern w:val="2"/>
          <w:sz w:val="32"/>
          <w:szCs w:val="22"/>
          <w:highlight w:val="none"/>
          <w:lang w:val="en-US" w:eastAsia="zh-CN" w:bidi="ar-SA"/>
          <w14:ligatures w14:val="none"/>
        </w:rPr>
        <w:t>区内主要用途为农业生产，任何单位和个人不得将区内的耕地擅自转为非耕地；从严管控非农建设占用永久基本农田，鼓励开展高标准农田建设和国土综合整治，逐步实现永久基本农田全部建成高标准农田；为实施国家重大交通、能源、水利及军事用地，经批准占用农田保护区的，原则上分区不做调整。</w:t>
      </w:r>
    </w:p>
    <w:p w14:paraId="591F2F21">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u w:val="none"/>
          <w:lang w:val="en-US" w:eastAsia="zh-CN" w:bidi="ar-SA"/>
          <w14:ligatures w14:val="none"/>
        </w:rPr>
        <w:t>林业发展区</w:t>
      </w:r>
      <w:r>
        <w:rPr>
          <w:rFonts w:hint="eastAsia" w:ascii="Times New Roman" w:hAnsi="Times New Roman" w:eastAsia="仿宋_GB2312" w:cs="Times New Roman"/>
          <w:kern w:val="2"/>
          <w:sz w:val="32"/>
          <w:szCs w:val="22"/>
          <w:highlight w:val="none"/>
          <w:lang w:val="en-US" w:eastAsia="zh-CN" w:bidi="ar-SA"/>
          <w14:ligatures w14:val="none"/>
        </w:rPr>
        <w:t>区内主导用途为林业发展，任何单位和个人不得将区内的林地擅自转为其它用地；从严管控，为实施国家重大交通、能源、水利及军事用地，经批准占用林业发展区的，原则上分区不做调整。</w:t>
      </w:r>
    </w:p>
    <w:p w14:paraId="265A4EE0">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牧业发展区：泥尔河乡不涉及牧业发展区。</w:t>
      </w:r>
    </w:p>
    <w:p w14:paraId="4B487C4E">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2"/>
        <w:rPr>
          <w:rFonts w:hint="default"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第29条  矿产能源发展区</w:t>
      </w:r>
    </w:p>
    <w:p w14:paraId="40F1155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该规划分区是为适应国家能源安全与矿业发展的重要陆域采矿区、战略性矿产储量区等。应强化矿产资源保护，促进矿产资源节约与综合利用，合理调控能源资源开发利用总量，规范矿产开发准入标准，开展矿山地质环境治理与矿区土地复垦，发展矿业领域循环经济。</w:t>
      </w:r>
    </w:p>
    <w:p w14:paraId="0DCB8740">
      <w:pPr>
        <w:ind w:left="0" w:leftChars="0" w:firstLine="0" w:firstLineChars="0"/>
        <w:rPr>
          <w:rFonts w:hint="eastAsia" w:ascii="黑体" w:hAnsi="黑体" w:eastAsia="黑体" w:cs="黑体"/>
          <w:b w:val="0"/>
          <w:bCs/>
          <w:kern w:val="2"/>
          <w:sz w:val="32"/>
          <w:szCs w:val="32"/>
          <w:highlight w:val="none"/>
          <w:lang w:val="en-US" w:eastAsia="zh-CN" w:bidi="ar-SA"/>
        </w:rPr>
      </w:pPr>
    </w:p>
    <w:p w14:paraId="1F3CFCBF">
      <w:pPr>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第五节  用地用途和结构调整</w:t>
      </w:r>
    </w:p>
    <w:p w14:paraId="7E67509C">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bookmarkStart w:id="157" w:name="_Toc15582"/>
      <w:bookmarkStart w:id="158" w:name="_Toc6042"/>
      <w:bookmarkStart w:id="159" w:name="_Toc22391"/>
      <w:bookmarkStart w:id="160" w:name="_Toc14118"/>
      <w:r>
        <w:rPr>
          <w:rFonts w:hint="eastAsia" w:ascii="楷体" w:hAnsi="楷体" w:eastAsia="楷体" w:cs="楷体"/>
          <w:b w:val="0"/>
          <w:bCs w:val="0"/>
          <w:snapToGrid w:val="0"/>
          <w:color w:val="000000"/>
          <w:spacing w:val="-11"/>
          <w:kern w:val="0"/>
          <w:sz w:val="32"/>
          <w:szCs w:val="32"/>
          <w:highlight w:val="none"/>
          <w:lang w:val="en-US" w:eastAsia="zh-CN"/>
        </w:rPr>
        <w:t>第30条  国土用地用途结构调整</w:t>
      </w:r>
      <w:bookmarkEnd w:id="157"/>
      <w:bookmarkEnd w:id="158"/>
      <w:bookmarkEnd w:id="159"/>
      <w:bookmarkEnd w:id="160"/>
    </w:p>
    <w:p w14:paraId="5B42DA5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优先保护耕地、林地等重要农业和生态用地，优先保障耕地，确保实现永久基本农田面积目标，引导农业结构调整向有利于增加耕地的方向转变。规划2035年，乡村居住用地、公共管理与公共服务设施用地、公用设施用地占建设用地的总比重提高。</w:t>
      </w:r>
    </w:p>
    <w:p w14:paraId="62DA4B8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提升工业用地效率，保障主导产业用地供给，优先保障农产品加工主导产业发展空间。引导新增工业用地向工业现有工业用地集中布局，逐步腾退和改造零散低效工业用地，推动工业区改造升级，推动乡村集体工业用地拆并转。规划2035年，工业、仓储物流用地占建设用地比重提高。</w:t>
      </w:r>
    </w:p>
    <w:p w14:paraId="070D7BF0">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增加绿地与开敞空间，提升乡村的环境品质，增加绿地与开敞空间供给，完善乡域公园绿地体系。通过拆旧建绿等方式逐步增加绿地与开敞空间。规划2035年，乡政府驻地绿地与广场用地达到人均8平方米以上。稳定农林用地与生态用地。</w:t>
      </w:r>
      <w:bookmarkStart w:id="161" w:name="_Toc26065"/>
      <w:bookmarkStart w:id="162" w:name="_Toc12379"/>
      <w:bookmarkStart w:id="163" w:name="_Toc25836"/>
      <w:bookmarkStart w:id="164" w:name="_Toc23555"/>
      <w:bookmarkStart w:id="165" w:name="_Toc14878"/>
      <w:bookmarkStart w:id="166" w:name="_Toc18725"/>
      <w:bookmarkStart w:id="167" w:name="_Toc652363282"/>
      <w:bookmarkStart w:id="168" w:name="_Toc9061"/>
    </w:p>
    <w:p w14:paraId="0A5EFC0B">
      <w:pPr>
        <w:ind w:left="0" w:leftChars="0" w:firstLine="0" w:firstLineChars="0"/>
        <w:rPr>
          <w:rFonts w:hint="eastAsia" w:ascii="仿宋" w:hAnsi="仿宋" w:eastAsia="仿宋" w:cs="仿宋"/>
          <w:b w:val="0"/>
          <w:bCs w:val="0"/>
          <w:color w:val="000000"/>
          <w:kern w:val="0"/>
          <w:sz w:val="28"/>
          <w:szCs w:val="28"/>
          <w:highlight w:val="none"/>
          <w:lang w:val="en-US" w:eastAsia="zh-CN" w:bidi="ar"/>
        </w:rPr>
      </w:pPr>
      <w:r>
        <w:rPr>
          <w:rFonts w:hint="eastAsia" w:ascii="仿宋" w:hAnsi="仿宋" w:eastAsia="仿宋" w:cs="仿宋"/>
          <w:b w:val="0"/>
          <w:bCs w:val="0"/>
          <w:color w:val="000000"/>
          <w:kern w:val="0"/>
          <w:sz w:val="28"/>
          <w:szCs w:val="28"/>
          <w:highlight w:val="none"/>
          <w:lang w:val="en-US" w:eastAsia="zh-CN" w:bidi="ar"/>
        </w:rPr>
        <w:br w:type="page"/>
      </w:r>
    </w:p>
    <w:bookmarkEnd w:id="161"/>
    <w:bookmarkEnd w:id="162"/>
    <w:bookmarkEnd w:id="163"/>
    <w:bookmarkEnd w:id="164"/>
    <w:bookmarkEnd w:id="165"/>
    <w:bookmarkEnd w:id="166"/>
    <w:bookmarkEnd w:id="167"/>
    <w:bookmarkEnd w:id="168"/>
    <w:p w14:paraId="4FB8FE84">
      <w:pPr>
        <w:pStyle w:val="3"/>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outlineLvl w:val="1"/>
        <w:rPr>
          <w:rFonts w:hint="default" w:ascii="方正小标宋_GBK" w:hAnsi="方正小标宋_GBK" w:eastAsia="方正小标宋_GBK" w:cs="方正小标宋_GBK"/>
          <w:b w:val="0"/>
          <w:bCs w:val="0"/>
          <w:color w:val="000000"/>
          <w:kern w:val="0"/>
          <w:sz w:val="36"/>
          <w:szCs w:val="36"/>
          <w:highlight w:val="none"/>
          <w:lang w:val="en-US" w:eastAsia="zh-CN" w:bidi="ar"/>
        </w:rPr>
      </w:pPr>
      <w:bookmarkStart w:id="169" w:name="_Toc455971524"/>
      <w:bookmarkStart w:id="170" w:name="_Toc18568"/>
      <w:bookmarkStart w:id="171" w:name="_Toc28340"/>
      <w:bookmarkStart w:id="172" w:name="_Toc17174"/>
      <w:bookmarkStart w:id="173" w:name="_Toc139980938"/>
      <w:bookmarkStart w:id="174" w:name="_Toc3751"/>
      <w:bookmarkStart w:id="175" w:name="_Toc2370"/>
      <w:bookmarkStart w:id="176" w:name="_Toc6475"/>
      <w:bookmarkStart w:id="177" w:name="_Toc27514"/>
      <w:r>
        <w:rPr>
          <w:rFonts w:hint="eastAsia" w:ascii="方正小标宋_GBK" w:hAnsi="方正小标宋_GBK" w:eastAsia="方正小标宋_GBK" w:cs="方正小标宋_GBK"/>
          <w:b w:val="0"/>
          <w:bCs w:val="0"/>
          <w:color w:val="000000"/>
          <w:kern w:val="0"/>
          <w:sz w:val="36"/>
          <w:szCs w:val="36"/>
          <w:highlight w:val="none"/>
          <w:lang w:val="en-US" w:eastAsia="zh-CN" w:bidi="ar"/>
        </w:rPr>
        <w:t xml:space="preserve">第五章  </w:t>
      </w:r>
      <w:bookmarkEnd w:id="169"/>
      <w:bookmarkEnd w:id="170"/>
      <w:bookmarkEnd w:id="171"/>
      <w:bookmarkEnd w:id="172"/>
      <w:bookmarkEnd w:id="173"/>
      <w:bookmarkEnd w:id="174"/>
      <w:bookmarkEnd w:id="175"/>
      <w:bookmarkEnd w:id="176"/>
      <w:bookmarkEnd w:id="177"/>
      <w:r>
        <w:rPr>
          <w:rFonts w:hint="eastAsia" w:ascii="方正小标宋_GBK" w:hAnsi="方正小标宋_GBK" w:eastAsia="方正小标宋_GBK" w:cs="方正小标宋_GBK"/>
          <w:b w:val="0"/>
          <w:bCs w:val="0"/>
          <w:color w:val="000000"/>
          <w:kern w:val="0"/>
          <w:sz w:val="36"/>
          <w:szCs w:val="36"/>
          <w:highlight w:val="none"/>
          <w:lang w:val="en-US" w:eastAsia="zh-CN" w:bidi="ar"/>
        </w:rPr>
        <w:t>空间布局优化</w:t>
      </w:r>
    </w:p>
    <w:p w14:paraId="45E7609E">
      <w:pPr>
        <w:pStyle w:val="3"/>
        <w:keepNext/>
        <w:keepLines/>
        <w:pageBreakBefore w:val="0"/>
        <w:widowControl w:val="0"/>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outlineLvl w:val="1"/>
        <w:rPr>
          <w:rFonts w:hint="default"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 xml:space="preserve">第一节 </w:t>
      </w:r>
      <w:r>
        <w:rPr>
          <w:rFonts w:hint="eastAsia" w:ascii="黑体" w:hAnsi="黑体" w:cs="黑体"/>
          <w:b w:val="0"/>
          <w:bCs/>
          <w:kern w:val="2"/>
          <w:sz w:val="32"/>
          <w:szCs w:val="32"/>
          <w:highlight w:val="none"/>
          <w:lang w:val="en-US" w:eastAsia="zh-CN" w:bidi="ar-SA"/>
        </w:rPr>
        <w:t xml:space="preserve"> </w:t>
      </w:r>
      <w:r>
        <w:rPr>
          <w:rFonts w:hint="eastAsia" w:ascii="黑体" w:hAnsi="黑体" w:eastAsia="黑体" w:cs="黑体"/>
          <w:b w:val="0"/>
          <w:bCs/>
          <w:kern w:val="2"/>
          <w:sz w:val="32"/>
          <w:szCs w:val="32"/>
          <w:highlight w:val="none"/>
          <w:lang w:val="en-US" w:eastAsia="zh-CN" w:bidi="ar-SA"/>
        </w:rPr>
        <w:t>保护优质优美的农业空间</w:t>
      </w:r>
    </w:p>
    <w:p w14:paraId="6F1D8570">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eastAsia" w:ascii="仿宋" w:hAnsi="仿宋" w:cs="仿宋"/>
          <w:b/>
          <w:bCs/>
          <w:snapToGrid w:val="0"/>
          <w:color w:val="000000"/>
          <w:spacing w:val="-11"/>
          <w:kern w:val="0"/>
          <w:sz w:val="28"/>
          <w:szCs w:val="28"/>
          <w:highlight w:val="none"/>
          <w:lang w:val="en-US" w:eastAsia="zh-CN"/>
        </w:rPr>
      </w:pPr>
      <w:bookmarkStart w:id="178" w:name="_Toc11009"/>
      <w:bookmarkStart w:id="179" w:name="_Toc31081"/>
      <w:bookmarkStart w:id="180" w:name="_Toc30883"/>
      <w:bookmarkStart w:id="181" w:name="_Toc18360"/>
      <w:r>
        <w:rPr>
          <w:rFonts w:hint="eastAsia" w:ascii="楷体" w:hAnsi="楷体" w:eastAsia="楷体" w:cs="楷体"/>
          <w:b w:val="0"/>
          <w:bCs w:val="0"/>
          <w:snapToGrid w:val="0"/>
          <w:color w:val="000000"/>
          <w:spacing w:val="-11"/>
          <w:kern w:val="0"/>
          <w:sz w:val="32"/>
          <w:szCs w:val="32"/>
          <w:highlight w:val="none"/>
          <w:lang w:val="en-US" w:eastAsia="zh-CN"/>
        </w:rPr>
        <w:t xml:space="preserve">第31条 </w:t>
      </w:r>
      <w:bookmarkEnd w:id="178"/>
      <w:bookmarkEnd w:id="179"/>
      <w:bookmarkEnd w:id="180"/>
      <w:bookmarkEnd w:id="181"/>
      <w:r>
        <w:rPr>
          <w:rFonts w:hint="eastAsia" w:ascii="楷体" w:hAnsi="楷体" w:eastAsia="楷体" w:cs="楷体"/>
          <w:b w:val="0"/>
          <w:bCs w:val="0"/>
          <w:snapToGrid w:val="0"/>
          <w:color w:val="000000"/>
          <w:spacing w:val="-11"/>
          <w:kern w:val="0"/>
          <w:sz w:val="32"/>
          <w:szCs w:val="32"/>
          <w:highlight w:val="none"/>
          <w:lang w:val="en-US" w:eastAsia="zh-CN"/>
        </w:rPr>
        <w:t xml:space="preserve"> 农业空间结构</w:t>
      </w:r>
    </w:p>
    <w:p w14:paraId="5F8CFA1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以确保粮食安全为前提，自然资源为依托，与农业生产条件和特点相结合，加强耕地稳定性和永久基本农田保护，积极促进农业用地布局优化，构建多方位的农业发展格局，大力发展特色绿色农业。</w:t>
      </w:r>
    </w:p>
    <w:p w14:paraId="0F7EB53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以绿色兴农为导向，全力推进绿色生产，构建“两区一基地”农业发展格局，分别为高质量水田农业区、优质旱田农业区、现代农业设施基地。</w:t>
      </w:r>
    </w:p>
    <w:p w14:paraId="01C891A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高质量水田农业区：包括靠近努敏河和墨尔根河以及跃进村和卫星村的大部分耕地，以努敏河、墨尔根河流域丰富的水资源为依托，发展高质量绿色有机水稻。</w:t>
      </w:r>
    </w:p>
    <w:p w14:paraId="1055EBA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优质旱田农业区：包括青山村、进军村的旱地耕地等。</w:t>
      </w:r>
    </w:p>
    <w:p w14:paraId="3FFB1FE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现代农业设施基地：在泥尔河乡乡政府建设晾晒场和烘干塔，大力扶持锦辉米业发展，加强农用设施建设，为农民增收提供保障。</w:t>
      </w:r>
    </w:p>
    <w:p w14:paraId="7EAE06BA">
      <w:pPr>
        <w:keepNext/>
        <w:keepLines/>
        <w:pageBreakBefore w:val="0"/>
        <w:widowControl w:val="0"/>
        <w:kinsoku/>
        <w:wordWrap/>
        <w:overflowPunct/>
        <w:topLinePunct w:val="0"/>
        <w:autoSpaceDE/>
        <w:autoSpaceDN/>
        <w:bidi w:val="0"/>
        <w:adjustRightInd/>
        <w:snapToGrid/>
        <w:spacing w:before="91" w:line="360" w:lineRule="auto"/>
        <w:ind w:firstLine="0" w:firstLineChars="0"/>
        <w:jc w:val="left"/>
        <w:textAlignment w:val="auto"/>
        <w:outlineLvl w:val="2"/>
        <w:rPr>
          <w:rFonts w:hint="default" w:ascii="仿宋" w:hAnsi="仿宋" w:cs="仿宋"/>
          <w:b/>
          <w:bCs/>
          <w:snapToGrid w:val="0"/>
          <w:color w:val="000000"/>
          <w:spacing w:val="-11"/>
          <w:kern w:val="0"/>
          <w:sz w:val="28"/>
          <w:szCs w:val="28"/>
          <w:highlight w:val="none"/>
          <w:lang w:val="en-US" w:eastAsia="zh-CN"/>
        </w:rPr>
      </w:pPr>
      <w:bookmarkStart w:id="182" w:name="_Toc22309"/>
      <w:bookmarkStart w:id="183" w:name="_Toc20542"/>
      <w:bookmarkStart w:id="184" w:name="_Toc21481"/>
      <w:bookmarkStart w:id="185" w:name="_Toc4050"/>
      <w:r>
        <w:rPr>
          <w:rFonts w:hint="eastAsia" w:ascii="楷体" w:hAnsi="楷体" w:eastAsia="楷体" w:cs="楷体"/>
          <w:b w:val="0"/>
          <w:bCs w:val="0"/>
          <w:snapToGrid w:val="0"/>
          <w:color w:val="000000"/>
          <w:spacing w:val="-11"/>
          <w:kern w:val="0"/>
          <w:sz w:val="32"/>
          <w:szCs w:val="32"/>
          <w:highlight w:val="none"/>
          <w:lang w:val="en-US" w:eastAsia="zh-CN"/>
        </w:rPr>
        <w:t xml:space="preserve">第32条 </w:t>
      </w:r>
      <w:bookmarkEnd w:id="182"/>
      <w:bookmarkEnd w:id="183"/>
      <w:bookmarkEnd w:id="184"/>
      <w:bookmarkEnd w:id="185"/>
      <w:r>
        <w:rPr>
          <w:rFonts w:hint="eastAsia" w:ascii="楷体" w:hAnsi="楷体" w:eastAsia="楷体" w:cs="楷体"/>
          <w:b w:val="0"/>
          <w:bCs w:val="0"/>
          <w:snapToGrid w:val="0"/>
          <w:color w:val="000000"/>
          <w:spacing w:val="-11"/>
          <w:kern w:val="0"/>
          <w:sz w:val="32"/>
          <w:szCs w:val="32"/>
          <w:highlight w:val="none"/>
          <w:lang w:val="en-US" w:eastAsia="zh-CN"/>
        </w:rPr>
        <w:t xml:space="preserve"> 实施耕地“三位一体”保护</w:t>
      </w:r>
    </w:p>
    <w:p w14:paraId="460F28A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u w:val="single"/>
          <w:lang w:val="en-US" w:eastAsia="zh-CN" w:bidi="ar-SA"/>
          <w14:ligatures w14:val="none"/>
        </w:rPr>
      </w:pPr>
      <w:r>
        <w:rPr>
          <w:rFonts w:hint="eastAsia" w:ascii="Times New Roman" w:hAnsi="Times New Roman" w:eastAsia="仿宋_GB2312" w:cs="Times New Roman"/>
          <w:kern w:val="2"/>
          <w:sz w:val="32"/>
          <w:szCs w:val="22"/>
          <w:highlight w:val="none"/>
          <w:u w:val="single"/>
          <w:lang w:val="en-US" w:eastAsia="zh-CN" w:bidi="ar-SA"/>
          <w14:ligatures w14:val="none"/>
        </w:rPr>
        <w:t>将耕地保有量目标、永久基本农田保护红线目标分解落实到全乡各行政村，作为规划期内必须守住的保护红线任务。全方位夯实粮食安全根基，全面落实粮食安全党政同责，牢牢守住乡域耕地红线。</w:t>
      </w:r>
    </w:p>
    <w:p w14:paraId="04EF76A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严格控制耕地占补平衡。严控非农建设占用耕地，特别是永久基本农田，确需占用的严格落实耕地占补平衡责任，以乡域内自行平衡为主，不足的可申请县域内调剂，严禁占优补劣、占水田补旱地。涉及占用黑土耕地的，应在黑土区内协调落实补地任务，落实“占黑土补黑土”。建设占用耕地的耕作层土壤应当按照规定的标准进行剥离再利用。</w:t>
      </w:r>
    </w:p>
    <w:p w14:paraId="09AAAE8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实施耕地进出平衡。严格控制耕地转为其他农用地。以年度国土变更调查为基础，除国家安排生态退耕、自然灾害损毁难以复耕、河湖水面自然扩大造成耕地永久淹没外，对耕地转为林地、草地、园地等其他农用地及农业设施建设用地的，应当补足同等数量、质量的可长期稳定利用的耕地，落实年度耕地进出平衡。</w:t>
      </w:r>
    </w:p>
    <w:p w14:paraId="476F57A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耕地生态。推动用地与养地相结合，积极推行农业轮作制度，推广大豆、玉米轮作等绿色、高产、优质、综合配套技术模式；稳步推进不适宜耕种的退耕还林工程，实施保护性耕作，加速耕地退化治理；深入实施土壤污染防治行动计划，落实对农药残留和农膜等的治理对策，加大治理力度，促进土壤污染防治与修复技术的应用。</w:t>
      </w:r>
    </w:p>
    <w:p w14:paraId="464FAF6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有序引导推进土地流转。加大对农村闲置宅基地和集体经营性建设用地整理复垦力度，优先利用新增建设用地建设中心村，完善土地增收分配机制，大力推行“大田托管”、“代耕代种”、“联耕联种”等多种模式，尽可能为农民创收提供最大的便利。</w:t>
      </w:r>
    </w:p>
    <w:p w14:paraId="0AB169D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坚持生态优先，用养结合的原则，落实黑土耕地战略，在耕地利用强度高的地区实行休耕轮作，推广保护性耕作模式，扩大秸秆还田，增加有机肥施用，推进黑土耕地高标准农田建设，完善农田基础设施，提高耕地综合生产能力。加强林网建设，防止黑土流失，保持土壤容量，墨尔根河、努敏河流域沿岸以水土流失治理为主，加强侵蚀沟治理，建立有效的水土流失防治体系。</w:t>
      </w:r>
      <w:bookmarkStart w:id="186" w:name="_Toc8069"/>
      <w:bookmarkStart w:id="187" w:name="_Toc26429"/>
      <w:bookmarkStart w:id="188" w:name="_Toc15680"/>
      <w:bookmarkStart w:id="189" w:name="_Toc27167"/>
      <w:bookmarkStart w:id="190" w:name="_Toc26063"/>
      <w:bookmarkStart w:id="191" w:name="_Toc874702556"/>
      <w:bookmarkStart w:id="192" w:name="_Toc829"/>
      <w:bookmarkStart w:id="193" w:name="_Toc26292"/>
    </w:p>
    <w:bookmarkEnd w:id="186"/>
    <w:bookmarkEnd w:id="187"/>
    <w:bookmarkEnd w:id="188"/>
    <w:bookmarkEnd w:id="189"/>
    <w:bookmarkEnd w:id="190"/>
    <w:bookmarkEnd w:id="191"/>
    <w:bookmarkEnd w:id="192"/>
    <w:bookmarkEnd w:id="193"/>
    <w:p w14:paraId="51845FD4">
      <w:pPr>
        <w:pageBreakBefore w:val="0"/>
        <w:widowControl/>
        <w:numPr>
          <w:ilvl w:val="0"/>
          <w:numId w:val="0"/>
        </w:numPr>
        <w:wordWrap/>
        <w:overflowPunct/>
        <w:bidi w:val="0"/>
        <w:spacing w:line="600" w:lineRule="exact"/>
        <w:ind w:leftChars="0"/>
        <w:jc w:val="both"/>
        <w:outlineLvl w:val="0"/>
        <w:rPr>
          <w:rFonts w:hint="default"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Hans"/>
        </w:rPr>
        <w:t>第</w:t>
      </w:r>
      <w:r>
        <w:rPr>
          <w:rFonts w:hint="eastAsia" w:ascii="楷体" w:hAnsi="楷体" w:eastAsia="楷体" w:cs="楷体"/>
          <w:b w:val="0"/>
          <w:bCs w:val="0"/>
          <w:snapToGrid w:val="0"/>
          <w:color w:val="000000"/>
          <w:spacing w:val="-11"/>
          <w:kern w:val="0"/>
          <w:sz w:val="32"/>
          <w:szCs w:val="32"/>
          <w:highlight w:val="none"/>
          <w:lang w:val="en-US" w:eastAsia="zh-CN"/>
        </w:rPr>
        <w:t>33</w:t>
      </w:r>
      <w:r>
        <w:rPr>
          <w:rFonts w:hint="eastAsia" w:ascii="楷体" w:hAnsi="楷体" w:eastAsia="楷体" w:cs="楷体"/>
          <w:b w:val="0"/>
          <w:bCs w:val="0"/>
          <w:snapToGrid w:val="0"/>
          <w:color w:val="000000"/>
          <w:spacing w:val="-11"/>
          <w:kern w:val="0"/>
          <w:sz w:val="32"/>
          <w:szCs w:val="32"/>
          <w:highlight w:val="none"/>
          <w:lang w:val="en-US" w:eastAsia="zh-Hans"/>
        </w:rPr>
        <w:t>条</w:t>
      </w:r>
      <w:r>
        <w:rPr>
          <w:rFonts w:hint="eastAsia" w:ascii="楷体" w:hAnsi="楷体" w:eastAsia="楷体" w:cs="楷体"/>
          <w:b w:val="0"/>
          <w:bCs w:val="0"/>
          <w:snapToGrid w:val="0"/>
          <w:color w:val="000000"/>
          <w:spacing w:val="-11"/>
          <w:kern w:val="0"/>
          <w:sz w:val="32"/>
          <w:szCs w:val="32"/>
          <w:highlight w:val="none"/>
          <w:lang w:val="en-US" w:eastAsia="zh-CN"/>
        </w:rPr>
        <w:t xml:space="preserve">  扎实推进黑土地保护</w:t>
      </w:r>
    </w:p>
    <w:p w14:paraId="3E9F25D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扩大黑土地保护利用项目范围和规模，探索建立黑土地保护利用模式和长效机制，保护好、利用好黑土地。要坚持用养结合、综合施策，保持和提高土壤肥力，通过土壤改良、地力培肥和治理修复，有效遏制黑土地退化，促进土壤有机质含量的增加，强化数字技术和生物技术赋能，持续提升黑土耕地质量，改善黑土区生态环境，优先把黑土地建成高标准农田。应适当加强水利设施的综合布设，加强农田灌溉设施的布局和用地保障。</w:t>
      </w:r>
    </w:p>
    <w:p w14:paraId="4D4B0CF2">
      <w:pPr>
        <w:pStyle w:val="4"/>
        <w:keepNext/>
        <w:keepLines/>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outlineLvl w:val="1"/>
        <w:rPr>
          <w:rFonts w:hint="eastAsia" w:ascii="黑体" w:hAnsi="黑体" w:eastAsia="黑体" w:cs="黑体"/>
          <w:b w:val="0"/>
          <w:bCs/>
          <w:kern w:val="2"/>
          <w:sz w:val="32"/>
          <w:szCs w:val="32"/>
          <w:highlight w:val="none"/>
          <w:lang w:val="en-US" w:eastAsia="zh-CN" w:bidi="ar-SA"/>
        </w:rPr>
      </w:pPr>
    </w:p>
    <w:p w14:paraId="4D43AAEC">
      <w:pPr>
        <w:pStyle w:val="4"/>
        <w:keepNext/>
        <w:keepLines/>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outlineLvl w:val="1"/>
        <w:rPr>
          <w:rFonts w:hint="default"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第二节</w:t>
      </w:r>
      <w:r>
        <w:rPr>
          <w:rFonts w:hint="default" w:ascii="黑体" w:hAnsi="黑体" w:eastAsia="黑体" w:cs="黑体"/>
          <w:b w:val="0"/>
          <w:bCs/>
          <w:kern w:val="2"/>
          <w:sz w:val="32"/>
          <w:szCs w:val="32"/>
          <w:highlight w:val="none"/>
          <w:lang w:val="en-US" w:eastAsia="zh-Hans" w:bidi="ar-SA"/>
        </w:rPr>
        <w:t xml:space="preserve"> </w:t>
      </w:r>
      <w:r>
        <w:rPr>
          <w:rFonts w:hint="eastAsia" w:ascii="黑体" w:hAnsi="黑体" w:eastAsia="黑体" w:cs="黑体"/>
          <w:b w:val="0"/>
          <w:bCs/>
          <w:kern w:val="2"/>
          <w:sz w:val="32"/>
          <w:szCs w:val="32"/>
          <w:highlight w:val="none"/>
          <w:lang w:val="en-US" w:eastAsia="zh-CN" w:bidi="ar-SA"/>
        </w:rPr>
        <w:t xml:space="preserve"> 建设绿色安全生态空间</w:t>
      </w:r>
    </w:p>
    <w:p w14:paraId="4953F9FB">
      <w:pPr>
        <w:keepNext w:val="0"/>
        <w:keepLines w:val="0"/>
        <w:pageBreakBefore w:val="0"/>
        <w:widowControl/>
        <w:suppressLineNumbers w:val="0"/>
        <w:tabs>
          <w:tab w:val="left" w:pos="589"/>
        </w:tabs>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第34条  构建“一带多点”生态保护格局</w:t>
      </w:r>
    </w:p>
    <w:p w14:paraId="363839D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结合泥尔河乡自然生态条件，依托乡域内自然资源，筑牢绥棱县周边乡村绿色环绕带生态屏障，推动河流滩涂和平原农田生态治理，强化生态廊道联通性，以努敏河流域湿地为基础，整合林草生态资源，构建“一带多点”的生态系统保护格局，作为全乡基本生态空间骨架，进行长期生态保护，维持生态系统功能基底稳定，提升泥尔河乡生态系统服务能力。</w:t>
      </w:r>
    </w:p>
    <w:p w14:paraId="27698F01">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“一带”是指努敏河流域生态湿地，将其作为泥尔河乡生态保育中心。</w:t>
      </w:r>
    </w:p>
    <w:p w14:paraId="3018048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“多点”是指全域需要保留原貌以及强化生态保育的林地、湿地、草地、水域等区域。</w:t>
      </w:r>
    </w:p>
    <w:p w14:paraId="0E08A183">
      <w:pPr>
        <w:keepNext w:val="0"/>
        <w:keepLines w:val="0"/>
        <w:pageBreakBefore w:val="0"/>
        <w:widowControl/>
        <w:suppressLineNumbers w:val="0"/>
        <w:tabs>
          <w:tab w:val="left" w:pos="589"/>
        </w:tabs>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楷体" w:hAnsi="楷体" w:eastAsia="楷体" w:cs="楷体"/>
          <w:b w:val="0"/>
          <w:bCs w:val="0"/>
          <w:snapToGrid w:val="0"/>
          <w:color w:val="000000"/>
          <w:spacing w:val="-11"/>
          <w:kern w:val="0"/>
          <w:sz w:val="32"/>
          <w:szCs w:val="32"/>
          <w:highlight w:val="none"/>
          <w:lang w:val="zh-CN" w:eastAsia="zh-CN"/>
        </w:rPr>
      </w:pPr>
      <w:r>
        <w:rPr>
          <w:rFonts w:hint="eastAsia" w:ascii="楷体" w:hAnsi="楷体" w:eastAsia="楷体" w:cs="楷体"/>
          <w:b w:val="0"/>
          <w:bCs w:val="0"/>
          <w:snapToGrid w:val="0"/>
          <w:color w:val="000000"/>
          <w:spacing w:val="-11"/>
          <w:kern w:val="0"/>
          <w:sz w:val="32"/>
          <w:szCs w:val="32"/>
          <w:highlight w:val="none"/>
          <w:lang w:val="en-US" w:eastAsia="zh-CN"/>
        </w:rPr>
        <w:t>第35条  分级分类管护生态空间</w:t>
      </w:r>
      <w:r>
        <w:rPr>
          <w:rFonts w:hint="eastAsia" w:ascii="楷体" w:hAnsi="楷体" w:eastAsia="楷体" w:cs="楷体"/>
          <w:b w:val="0"/>
          <w:bCs w:val="0"/>
          <w:snapToGrid w:val="0"/>
          <w:color w:val="000000"/>
          <w:spacing w:val="-11"/>
          <w:kern w:val="0"/>
          <w:sz w:val="32"/>
          <w:szCs w:val="32"/>
          <w:highlight w:val="none"/>
          <w:lang w:val="zh-CN" w:eastAsia="zh-CN"/>
        </w:rPr>
        <w:tab/>
      </w:r>
    </w:p>
    <w:p w14:paraId="187D5E8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1、科学划定生态空间</w:t>
      </w:r>
    </w:p>
    <w:p w14:paraId="0916590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 xml:space="preserve">因泥尔河乡没有生态保护红线，所以将全域需要保留原貌以及强化生态保育的林地、湿地、草地、水域等区域（包含生态公益林、陆地水域、退耕还林区等）划入生态空间，提高生态空间的完整性和连通性。统筹协调生态空间保护与乡域建设发展之间的关系，合理预留交通、水利、电力、供热、环卫等基础设施建设空间。 </w:t>
      </w:r>
    </w:p>
    <w:p w14:paraId="6EFADC0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2、分级管控生态空间</w:t>
      </w:r>
    </w:p>
    <w:p w14:paraId="16C6D8E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针对自然保护地核心保护区、一般控制区不同生态功能的生态空间，实施内外分级、各有侧重的生态空间分级用途管制策略，严格落实泥尔河乡生态控制区管控原则，确保依法保护的生态空间面积不减少，生态功能不降低，生态服务保障能力逐渐提高。</w:t>
      </w:r>
    </w:p>
    <w:p w14:paraId="2C0E1F2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3、分类管护生态空间</w:t>
      </w:r>
    </w:p>
    <w:p w14:paraId="7F423DE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zh-CN"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整合、优化努敏河流域湿地，完善生态节点和生物多样性保护网络格局；着力改善努敏河湿地生态景观，维持河流湿地基本生态用水需求。强化河道沿岸田地用途管制和节约集约利用，严格控制开发利用强度，在充分保障其他建设用地需求的基础上提升土地生产力。加强推进废水综合治理工程，完善各类污水处理基础设施。加强对水资源节约、保护的普及教育，树立水资源的忧患意识，打造节水型社会，实现通肯河及区域内其他水资源的可持续开发利用。</w:t>
      </w:r>
    </w:p>
    <w:p w14:paraId="0C0B6669">
      <w:pPr>
        <w:pageBreakBefore w:val="0"/>
        <w:widowControl w:val="0"/>
        <w:numPr>
          <w:ilvl w:val="0"/>
          <w:numId w:val="0"/>
        </w:numPr>
        <w:kinsoku/>
        <w:wordWrap/>
        <w:overflowPunct/>
        <w:topLinePunct w:val="0"/>
        <w:autoSpaceDE/>
        <w:autoSpaceDN/>
        <w:bidi w:val="0"/>
        <w:adjustRightInd/>
        <w:snapToGrid/>
        <w:spacing w:line="600" w:lineRule="exact"/>
        <w:ind w:left="0" w:leftChars="0" w:firstLine="0" w:firstLineChars="0"/>
        <w:jc w:val="both"/>
        <w:textAlignment w:val="auto"/>
        <w:rPr>
          <w:rFonts w:hint="default" w:ascii="楷体" w:hAnsi="楷体" w:eastAsia="楷体" w:cs="楷体"/>
          <w:b w:val="0"/>
          <w:bCs w:val="0"/>
          <w:spacing w:val="-11"/>
          <w:sz w:val="32"/>
          <w:szCs w:val="32"/>
          <w:highlight w:val="none"/>
          <w:lang w:val="en-US" w:eastAsia="zh-CN"/>
        </w:rPr>
      </w:pPr>
      <w:bookmarkStart w:id="194" w:name="_Toc17336"/>
      <w:r>
        <w:rPr>
          <w:rFonts w:hint="eastAsia" w:ascii="楷体" w:hAnsi="楷体" w:eastAsia="楷体" w:cs="楷体"/>
          <w:b w:val="0"/>
          <w:bCs w:val="0"/>
          <w:spacing w:val="-11"/>
          <w:sz w:val="32"/>
          <w:szCs w:val="32"/>
          <w:highlight w:val="none"/>
          <w:lang w:val="en-US" w:eastAsia="zh-CN"/>
        </w:rPr>
        <w:t>第36条  国土绿化造林</w:t>
      </w:r>
    </w:p>
    <w:p w14:paraId="34BFA4F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通过造林绿化空间适宜性评估，清晰掌握林草资源本底，科学安排造林用地，带位置落实绿化任务，落实国土空间总体规划中的造林绿化空间。加强森林保育和质量精准提升、科学实施造林绿化、加快镇域内乡村美化绿化、合理优化防护林体系、强化沙化土地治理。</w:t>
      </w:r>
    </w:p>
    <w:p w14:paraId="2F27BA1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科学开展国土绿化行动，坚持生态优先，生态、经济、社会三大效益兼顾原则；坚持因地制宜，遵循自然和经济规律，充分考虑“三区三线”等因素原则；坚持质量优先、速度与成效相统一原则；坚持与生物多样性保护、生态环境保护相结合，提倡多林种、多树种造林原则。</w:t>
      </w:r>
    </w:p>
    <w:p w14:paraId="40A83977">
      <w:pPr>
        <w:pageBreakBefore w:val="0"/>
        <w:widowControl w:val="0"/>
        <w:numPr>
          <w:ilvl w:val="0"/>
          <w:numId w:val="0"/>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楷体" w:hAnsi="楷体" w:eastAsia="楷体" w:cs="楷体"/>
          <w:b w:val="0"/>
          <w:bCs w:val="0"/>
          <w:spacing w:val="-11"/>
          <w:sz w:val="32"/>
          <w:szCs w:val="32"/>
          <w:highlight w:val="none"/>
          <w:lang w:val="en-US" w:eastAsia="zh-CN"/>
        </w:rPr>
      </w:pPr>
      <w:r>
        <w:rPr>
          <w:rFonts w:hint="eastAsia" w:ascii="楷体" w:hAnsi="楷体" w:eastAsia="楷体" w:cs="楷体"/>
          <w:b w:val="0"/>
          <w:bCs w:val="0"/>
          <w:spacing w:val="-11"/>
          <w:sz w:val="32"/>
          <w:szCs w:val="32"/>
          <w:highlight w:val="none"/>
          <w:lang w:val="en-US" w:eastAsia="zh-CN"/>
        </w:rPr>
        <w:t>第37条  自然资源保护与利用</w:t>
      </w:r>
    </w:p>
    <w:p w14:paraId="459E72DB">
      <w:pPr>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1、水资源保护与利用</w:t>
      </w:r>
    </w:p>
    <w:p w14:paraId="2458B8E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提高农业用水有效利用率，提高社会节水意识，推广工业节水新工艺的使用，加强水资源的再生利用，加强水资源保护与治理。</w:t>
      </w:r>
    </w:p>
    <w:p w14:paraId="3D3F53C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水源保护地的具体管控要求按照《黑龙江省饮用水源保护区划分与防护的实施办法》执行。一级保护区内：禁止新建、扩建与供水设施和保护水源无关的建设项目；禁止向水域排放污水，已设置的排污口必须拆除；不得设置与供水需要无关的码头，禁止停靠船舶；禁止堆置和存放工业废渣、城市垃圾、粪便和其他废弃物；禁止设置油库；禁止从事种植、放养畜禽和网箱养殖活动；禁止可能污染水源的旅游活动和其他活动。</w:t>
      </w:r>
    </w:p>
    <w:p w14:paraId="0DA07A0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二级保护区内：禁止新建、改建、扩建排放污染物的建设项目；原有排污口依法拆除或者关闭；禁止设立装卸垃圾、粪便、油类和有毒物品的码头。</w:t>
      </w:r>
    </w:p>
    <w:p w14:paraId="0F9B436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对努敏河河湖岸线及周边土地以保护优先、合理利用为规划原则。坚持保护优先，把河湖岸线及周边土地保护作为岸线利用的前提，实现在保护中有序开发、在开发中落实保护。遵循努敏河演变的自然规律，根据河湖岸线及周边土地的自然条件，充分考虑防洪安全、河势稳定、生态安全、供水安全等方面要求，兼顾上下游、左右岸、产业开发、生态保护等方面对努敏河河湖岸线及周边土地的利用需求，促进努敏河湖岸线及周边土地的合理利用，强化节约集约利用。</w:t>
      </w:r>
    </w:p>
    <w:p w14:paraId="4C0632B1">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2、森林资源保护与利用</w:t>
      </w:r>
    </w:p>
    <w:p w14:paraId="15C8FE4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规划至2035年，以生态功能提升为导引，优化林种结构、提高林地郁闭度，稳步提升林地质量；统筹规划公益林地与商品林地，积极保障重点公益林地。</w:t>
      </w:r>
    </w:p>
    <w:p w14:paraId="2EA6204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坚持森林保护优先、保护与利用兼顾的原则，在不破坏地表植被、不影响生物多样性保护前提下，允许有限利用林地适度发展生态旅游、休闲康养、研学基地和营地、自然教育、特色种植养殖等绿色产业，有效提升生态系统碳汇量。</w:t>
      </w:r>
    </w:p>
    <w:p w14:paraId="1304C940">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贯彻“预防为主、科学防控、依法治理、促进健康”的方针，控制林业有害生物的发生和蔓延，提高防治率，禁止使用带有林业有害生物的苗木进行补植。</w:t>
      </w:r>
    </w:p>
    <w:p w14:paraId="0ED60AD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把限额采伐与培育森林资源、提高森林资源质量、有偿使用林地、实现助农增收相结合，全面保护天然林资源，提高森林资源质量，提高森林资源利用率。</w:t>
      </w:r>
    </w:p>
    <w:p w14:paraId="6FB8B1E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在进行采伐前，需要对树木的成长环境和成长规律进行全面分析，控制采伐量，确保整个森林具有良好的自我修复能力。坚持“采伐量小于生长量”的原则，严格控制森林资源开采量，确保森林的可持续发展。</w:t>
      </w:r>
    </w:p>
    <w:p w14:paraId="591449A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3、湿地资源保护与利用</w:t>
      </w:r>
    </w:p>
    <w:p w14:paraId="4B84C84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严格落实总量控制与限额使用、依法占用、占补平衡、生态补偿等湿地管理制度，确保湿地面积不减少、质量不降低。建立湿地生态环境监测网络，监测湿地生态环境动态变化。增强湿地生态功能，维护湿地生物多样性，全面提升湿地保护与修复水平。</w:t>
      </w:r>
    </w:p>
    <w:p w14:paraId="5675A08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4、草地资源保护与利用</w:t>
      </w:r>
    </w:p>
    <w:p w14:paraId="5102C20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草地是生态系统中的重要组成部分，对维持生态平衡、保护生物多样性起着重要作用。完善草地保护修复制度体系，退化草地得到有效治理和修复，草地综合植被盖度达到较高水平。</w:t>
      </w:r>
    </w:p>
    <w:p w14:paraId="61E7D4D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按照山水林田湖草整体保护、系统修复、综合治理的要求和宜林则林、宜草则草的原则，统筹推进森林、草原保护修复和荒漠化治理。在草原区，对生态系统脆弱、生态区位重要的退化草原，加强生态修复和保护管理，巩固生态治理成果。对已垦草原有计划地退耕还草。</w:t>
      </w:r>
    </w:p>
    <w:p w14:paraId="51915FE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5、矿产资源保护与利用</w:t>
      </w:r>
    </w:p>
    <w:p w14:paraId="3DFA246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加大矿产资源开采总量调控力度，全面优化矿产资源开发利用结构和空间布局，发展绿色矿山。至2035年，形成资源开发与环境保护协调发展的绿色矿业发展格局，生产矿山全部达到绿色矿山标准。稳固和提高优势矿种利用，合理开采优势矿种。按照“产业规模化、生产集约高效化、矿山建设生态化、资源配置市场化”的发展理念，以重点项目建设为主抓，延长产业链，提高矿产品附加值。</w:t>
      </w:r>
    </w:p>
    <w:p w14:paraId="30E6918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p>
    <w:p w14:paraId="558AB26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 xml:space="preserve">第三节 </w:t>
      </w:r>
      <w:r>
        <w:rPr>
          <w:rFonts w:hint="default" w:ascii="黑体" w:hAnsi="黑体" w:eastAsia="黑体" w:cs="黑体"/>
          <w:b w:val="0"/>
          <w:bCs/>
          <w:kern w:val="2"/>
          <w:sz w:val="32"/>
          <w:szCs w:val="32"/>
          <w:highlight w:val="none"/>
          <w:lang w:val="en-US" w:eastAsia="zh-Hans" w:bidi="ar-SA"/>
        </w:rPr>
        <w:t xml:space="preserve"> </w:t>
      </w:r>
      <w:r>
        <w:rPr>
          <w:rFonts w:hint="eastAsia" w:ascii="黑体" w:hAnsi="黑体" w:eastAsia="黑体" w:cs="黑体"/>
          <w:b w:val="0"/>
          <w:bCs/>
          <w:kern w:val="2"/>
          <w:sz w:val="32"/>
          <w:szCs w:val="32"/>
          <w:highlight w:val="none"/>
          <w:lang w:val="en-US" w:eastAsia="zh-CN" w:bidi="ar-SA"/>
        </w:rPr>
        <w:t>构建集约高效的</w:t>
      </w:r>
      <w:bookmarkEnd w:id="194"/>
      <w:r>
        <w:rPr>
          <w:rFonts w:hint="eastAsia" w:ascii="黑体" w:hAnsi="黑体" w:eastAsia="黑体" w:cs="黑体"/>
          <w:b w:val="0"/>
          <w:bCs/>
          <w:kern w:val="2"/>
          <w:sz w:val="32"/>
          <w:szCs w:val="32"/>
          <w:highlight w:val="none"/>
          <w:lang w:val="en-US" w:eastAsia="zh-CN" w:bidi="ar-SA"/>
        </w:rPr>
        <w:t>城乡建设空间</w:t>
      </w:r>
      <w:bookmarkStart w:id="195" w:name="_Toc7292"/>
      <w:bookmarkStart w:id="196" w:name="_Toc30007"/>
    </w:p>
    <w:p w14:paraId="23A3A770">
      <w:pPr>
        <w:pageBreakBefore w:val="0"/>
        <w:widowControl w:val="0"/>
        <w:numPr>
          <w:ilvl w:val="0"/>
          <w:numId w:val="0"/>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楷体" w:hAnsi="楷体" w:eastAsia="楷体" w:cs="楷体"/>
          <w:b w:val="0"/>
          <w:bCs w:val="0"/>
          <w:spacing w:val="-11"/>
          <w:sz w:val="32"/>
          <w:szCs w:val="32"/>
          <w:highlight w:val="none"/>
          <w:lang w:val="en-US" w:eastAsia="zh-CN"/>
        </w:rPr>
      </w:pPr>
      <w:r>
        <w:rPr>
          <w:rFonts w:hint="eastAsia" w:ascii="楷体" w:hAnsi="楷体" w:eastAsia="楷体" w:cs="楷体"/>
          <w:b w:val="0"/>
          <w:bCs w:val="0"/>
          <w:spacing w:val="-11"/>
          <w:sz w:val="32"/>
          <w:szCs w:val="32"/>
          <w:highlight w:val="none"/>
          <w:lang w:val="en-US" w:eastAsia="zh-CN"/>
        </w:rPr>
        <w:t>第38条  人口规模</w:t>
      </w:r>
      <w:bookmarkEnd w:id="195"/>
      <w:bookmarkEnd w:id="196"/>
    </w:p>
    <w:p w14:paraId="5D79845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引导乡村人口有序转移，通过更好的居住环境和服务资源，引导乡村人口向主要村屯转移；以乡政府为依托，就近吸纳农业转移人口。</w:t>
      </w:r>
    </w:p>
    <w:p w14:paraId="4A26E14A">
      <w:pPr>
        <w:keepNext w:val="0"/>
        <w:keepLines w:val="0"/>
        <w:pageBreakBefore w:val="0"/>
        <w:widowControl/>
        <w:numPr>
          <w:ilvl w:val="0"/>
          <w:numId w:val="0"/>
        </w:numPr>
        <w:kinsoku/>
        <w:wordWrap/>
        <w:overflowPunct/>
        <w:topLinePunct w:val="0"/>
        <w:autoSpaceDE/>
        <w:autoSpaceDN/>
        <w:bidi w:val="0"/>
        <w:adjustRightInd/>
        <w:snapToGrid/>
        <w:spacing w:line="600" w:lineRule="exact"/>
        <w:ind w:leftChars="0"/>
        <w:jc w:val="both"/>
        <w:textAlignment w:val="auto"/>
        <w:outlineLvl w:val="0"/>
        <w:rPr>
          <w:rFonts w:hint="eastAsia" w:ascii="楷体" w:hAnsi="楷体" w:eastAsia="楷体" w:cs="楷体"/>
          <w:b w:val="0"/>
          <w:bCs w:val="0"/>
          <w:snapToGrid w:val="0"/>
          <w:color w:val="000000"/>
          <w:spacing w:val="-11"/>
          <w:kern w:val="0"/>
          <w:sz w:val="32"/>
          <w:szCs w:val="32"/>
          <w:highlight w:val="none"/>
          <w:lang w:val="en-US" w:eastAsia="zh-CN"/>
        </w:rPr>
      </w:pPr>
      <w:bookmarkStart w:id="197" w:name="_Toc21795"/>
      <w:bookmarkStart w:id="198" w:name="_Toc15416"/>
      <w:bookmarkStart w:id="199" w:name="_Toc2269"/>
      <w:bookmarkStart w:id="200" w:name="_Toc7506"/>
      <w:bookmarkStart w:id="201" w:name="_Toc6514"/>
      <w:bookmarkStart w:id="202" w:name="_Toc25137"/>
      <w:r>
        <w:rPr>
          <w:rFonts w:hint="eastAsia" w:ascii="楷体" w:hAnsi="楷体" w:eastAsia="楷体" w:cs="楷体"/>
          <w:b w:val="0"/>
          <w:bCs w:val="0"/>
          <w:snapToGrid w:val="0"/>
          <w:color w:val="000000"/>
          <w:spacing w:val="-11"/>
          <w:kern w:val="0"/>
          <w:sz w:val="32"/>
          <w:szCs w:val="32"/>
          <w:highlight w:val="none"/>
          <w:lang w:val="en-US" w:eastAsia="zh-Hans"/>
        </w:rPr>
        <w:t>第</w:t>
      </w:r>
      <w:r>
        <w:rPr>
          <w:rFonts w:hint="eastAsia" w:ascii="楷体" w:hAnsi="楷体" w:eastAsia="楷体" w:cs="楷体"/>
          <w:b w:val="0"/>
          <w:bCs w:val="0"/>
          <w:snapToGrid w:val="0"/>
          <w:color w:val="000000"/>
          <w:spacing w:val="-11"/>
          <w:kern w:val="0"/>
          <w:sz w:val="32"/>
          <w:szCs w:val="32"/>
          <w:highlight w:val="none"/>
          <w:lang w:val="en-US" w:eastAsia="zh-CN"/>
        </w:rPr>
        <w:t>39</w:t>
      </w:r>
      <w:r>
        <w:rPr>
          <w:rFonts w:hint="eastAsia" w:ascii="楷体" w:hAnsi="楷体" w:eastAsia="楷体" w:cs="楷体"/>
          <w:b w:val="0"/>
          <w:bCs w:val="0"/>
          <w:snapToGrid w:val="0"/>
          <w:color w:val="000000"/>
          <w:spacing w:val="-11"/>
          <w:kern w:val="0"/>
          <w:sz w:val="32"/>
          <w:szCs w:val="32"/>
          <w:highlight w:val="none"/>
          <w:lang w:val="en-US" w:eastAsia="zh-Hans"/>
        </w:rPr>
        <w:t>条</w:t>
      </w:r>
      <w:r>
        <w:rPr>
          <w:rFonts w:hint="eastAsia" w:ascii="楷体" w:hAnsi="楷体" w:eastAsia="楷体" w:cs="楷体"/>
          <w:b w:val="0"/>
          <w:bCs w:val="0"/>
          <w:snapToGrid w:val="0"/>
          <w:color w:val="000000"/>
          <w:spacing w:val="-11"/>
          <w:kern w:val="0"/>
          <w:sz w:val="32"/>
          <w:szCs w:val="32"/>
          <w:highlight w:val="none"/>
          <w:lang w:val="en-US" w:eastAsia="zh-CN"/>
        </w:rPr>
        <w:t xml:space="preserve">  构建镇村等级体系</w:t>
      </w:r>
      <w:bookmarkEnd w:id="197"/>
      <w:bookmarkEnd w:id="198"/>
    </w:p>
    <w:p w14:paraId="10A27B4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综合考虑乡域当地人口规模、经济职能、辐射范围等因素，按照乡政府驻地—一般村二级镇村体系，细化泥尔河乡居民点体系等级结构、职能分工和发展方向。</w:t>
      </w:r>
    </w:p>
    <w:p w14:paraId="5F250C6B">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2"/>
        <w:rPr>
          <w:rFonts w:hint="eastAsia" w:ascii="Times New Roman" w:hAnsi="Times New Roman" w:eastAsia="仿宋_GB2312" w:cs="Times New Roman"/>
          <w:kern w:val="2"/>
          <w:sz w:val="32"/>
          <w:szCs w:val="22"/>
          <w:highlight w:val="none"/>
          <w:lang w:val="en-US" w:eastAsia="zh-CN" w:bidi="ar-SA"/>
          <w14:ligatures w14:val="none"/>
        </w:rPr>
      </w:pPr>
      <w:r>
        <w:rPr>
          <w:rFonts w:hint="eastAsia" w:ascii="楷体" w:hAnsi="楷体" w:eastAsia="楷体" w:cs="楷体"/>
          <w:b w:val="0"/>
          <w:bCs w:val="0"/>
          <w:snapToGrid w:val="0"/>
          <w:color w:val="000000"/>
          <w:spacing w:val="-11"/>
          <w:kern w:val="0"/>
          <w:sz w:val="32"/>
          <w:szCs w:val="32"/>
          <w:highlight w:val="none"/>
          <w:lang w:val="en-US" w:eastAsia="zh-CN"/>
        </w:rPr>
        <w:t>第40条  规模结构</w:t>
      </w:r>
    </w:p>
    <w:p w14:paraId="6FD0E2C1">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依据镇村体系空间布局，结合现状村庄职能特点，按照近期和远期相结合、局部和整体相结合的原则，划分职能结构为两个等级。第一级为乡政府职能，是泥尔河乡政治经济文化中心、生产服务中心、商品集散中心、对外发展窗口和职能中心，辐射全乡，带动转型升级创新引领核心。第二级为一般村职能，该级是农业生产及服务基本单元，以种植业为主。</w:t>
      </w:r>
    </w:p>
    <w:p w14:paraId="01F7015E">
      <w:pPr>
        <w:keepNext w:val="0"/>
        <w:keepLines w:val="0"/>
        <w:pageBreakBefore w:val="0"/>
        <w:widowControl/>
        <w:numPr>
          <w:ilvl w:val="0"/>
          <w:numId w:val="0"/>
        </w:numPr>
        <w:kinsoku/>
        <w:wordWrap/>
        <w:overflowPunct/>
        <w:topLinePunct w:val="0"/>
        <w:autoSpaceDE/>
        <w:autoSpaceDN/>
        <w:bidi w:val="0"/>
        <w:adjustRightInd/>
        <w:snapToGrid/>
        <w:spacing w:line="600" w:lineRule="exact"/>
        <w:ind w:leftChars="0"/>
        <w:jc w:val="both"/>
        <w:textAlignment w:val="auto"/>
        <w:outlineLvl w:val="0"/>
        <w:rPr>
          <w:rFonts w:hint="default" w:ascii="楷体" w:hAnsi="楷体" w:eastAsia="楷体" w:cs="楷体"/>
          <w:b w:val="0"/>
          <w:bCs w:val="0"/>
          <w:snapToGrid w:val="0"/>
          <w:color w:val="000000"/>
          <w:spacing w:val="-11"/>
          <w:kern w:val="0"/>
          <w:sz w:val="32"/>
          <w:szCs w:val="32"/>
          <w:highlight w:val="none"/>
          <w:lang w:val="en-US" w:eastAsia="zh-CN"/>
        </w:rPr>
      </w:pPr>
      <w:bookmarkStart w:id="203" w:name="_Toc4001"/>
      <w:bookmarkStart w:id="204" w:name="_Toc3103"/>
      <w:bookmarkStart w:id="205" w:name="_Toc2580"/>
      <w:bookmarkStart w:id="206" w:name="_Toc4333"/>
      <w:r>
        <w:rPr>
          <w:rFonts w:hint="eastAsia" w:ascii="楷体" w:hAnsi="楷体" w:eastAsia="楷体" w:cs="楷体"/>
          <w:b w:val="0"/>
          <w:bCs w:val="0"/>
          <w:snapToGrid w:val="0"/>
          <w:color w:val="000000"/>
          <w:spacing w:val="-11"/>
          <w:kern w:val="0"/>
          <w:sz w:val="32"/>
          <w:szCs w:val="32"/>
          <w:highlight w:val="none"/>
          <w:lang w:val="en-US" w:eastAsia="zh-CN"/>
        </w:rPr>
        <w:t xml:space="preserve">第41条 </w:t>
      </w:r>
      <w:bookmarkEnd w:id="203"/>
      <w:bookmarkEnd w:id="204"/>
      <w:r>
        <w:rPr>
          <w:rFonts w:hint="eastAsia" w:ascii="楷体" w:hAnsi="楷体" w:eastAsia="楷体" w:cs="楷体"/>
          <w:b w:val="0"/>
          <w:bCs w:val="0"/>
          <w:snapToGrid w:val="0"/>
          <w:color w:val="000000"/>
          <w:spacing w:val="-11"/>
          <w:kern w:val="0"/>
          <w:sz w:val="32"/>
          <w:szCs w:val="32"/>
          <w:highlight w:val="none"/>
          <w:lang w:val="en-US" w:eastAsia="zh-CN"/>
        </w:rPr>
        <w:t xml:space="preserve"> 村庄分类布局</w:t>
      </w:r>
      <w:bookmarkEnd w:id="205"/>
      <w:bookmarkEnd w:id="206"/>
    </w:p>
    <w:p w14:paraId="47D83C8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坚持因类施策，合理引导资源有效有序投放，以绥棱县村庄现状特征为基础，结合村庄所处的国土空间开发适宜性分区，将全乡村庄都划分为集聚提升类。</w:t>
      </w:r>
    </w:p>
    <w:p w14:paraId="79AAE2D1">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集聚提升类村庄突出产业引领，公共服务带动，合理引导人口、用地集聚，探索农地异地托管模式，优化村庄空间，提升人居品质。</w:t>
      </w:r>
    </w:p>
    <w:p w14:paraId="2D0B9763">
      <w:pPr>
        <w:keepNext w:val="0"/>
        <w:keepLines w:val="0"/>
        <w:pageBreakBefore w:val="0"/>
        <w:widowControl/>
        <w:numPr>
          <w:ilvl w:val="0"/>
          <w:numId w:val="0"/>
        </w:numPr>
        <w:kinsoku/>
        <w:wordWrap/>
        <w:overflowPunct/>
        <w:topLinePunct w:val="0"/>
        <w:autoSpaceDE/>
        <w:autoSpaceDN/>
        <w:bidi w:val="0"/>
        <w:adjustRightInd/>
        <w:snapToGrid/>
        <w:spacing w:line="600" w:lineRule="exact"/>
        <w:ind w:leftChars="0"/>
        <w:jc w:val="both"/>
        <w:textAlignment w:val="auto"/>
        <w:outlineLvl w:val="0"/>
        <w:rPr>
          <w:rFonts w:hint="eastAsia" w:ascii="楷体" w:hAnsi="楷体" w:eastAsia="楷体" w:cs="楷体"/>
          <w:b w:val="0"/>
          <w:bCs w:val="0"/>
          <w:snapToGrid w:val="0"/>
          <w:color w:val="000000"/>
          <w:spacing w:val="-11"/>
          <w:kern w:val="0"/>
          <w:sz w:val="32"/>
          <w:szCs w:val="32"/>
          <w:highlight w:val="none"/>
          <w:lang w:val="en-US" w:eastAsia="zh-CN"/>
        </w:rPr>
      </w:pPr>
      <w:bookmarkStart w:id="207" w:name="_Toc10654"/>
      <w:bookmarkStart w:id="208" w:name="_Toc26025"/>
      <w:bookmarkStart w:id="209" w:name="_Toc25578"/>
      <w:bookmarkStart w:id="210" w:name="_Toc6664"/>
      <w:r>
        <w:rPr>
          <w:rFonts w:hint="eastAsia" w:ascii="楷体" w:hAnsi="楷体" w:eastAsia="楷体" w:cs="楷体"/>
          <w:b w:val="0"/>
          <w:bCs w:val="0"/>
          <w:snapToGrid w:val="0"/>
          <w:color w:val="000000"/>
          <w:spacing w:val="-11"/>
          <w:kern w:val="0"/>
          <w:sz w:val="32"/>
          <w:szCs w:val="32"/>
          <w:highlight w:val="none"/>
          <w:lang w:val="en-US" w:eastAsia="zh-CN"/>
        </w:rPr>
        <w:t>第42条  职能结构</w:t>
      </w:r>
    </w:p>
    <w:p w14:paraId="31C91A60">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依据各村庄现状基础、交通条件和资源禀赋，规划到2035年，形成农贸型和农业型两类乡镇职能类型。</w:t>
      </w:r>
    </w:p>
    <w:p w14:paraId="336CDB4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农贸型：以农业种植为主导，部分发展农产品初加工、农产品贸易的村庄即乡政府驻地进军村。</w:t>
      </w:r>
    </w:p>
    <w:p w14:paraId="5822C6C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 w:hAnsi="仿宋" w:cs="仿宋"/>
          <w:b/>
          <w:bCs/>
          <w:snapToGrid w:val="0"/>
          <w:color w:val="000000"/>
          <w:spacing w:val="-11"/>
          <w:kern w:val="0"/>
          <w:sz w:val="28"/>
          <w:szCs w:val="28"/>
          <w:highlight w:val="none"/>
          <w:lang w:val="en-US" w:eastAsia="zh-CN"/>
        </w:rPr>
      </w:pPr>
      <w:r>
        <w:rPr>
          <w:rFonts w:hint="eastAsia" w:ascii="Times New Roman" w:hAnsi="Times New Roman" w:eastAsia="仿宋_GB2312" w:cs="Times New Roman"/>
          <w:kern w:val="2"/>
          <w:sz w:val="32"/>
          <w:szCs w:val="22"/>
          <w:highlight w:val="none"/>
          <w:lang w:val="en-US" w:eastAsia="zh-CN" w:bidi="ar-SA"/>
          <w14:ligatures w14:val="none"/>
        </w:rPr>
        <w:t>农业型：以黑土地粮食种植为主导的村庄，包括抚北村、青山村、双丰村、勇敢村、卫星村、跃进村、永发村。</w:t>
      </w:r>
    </w:p>
    <w:p w14:paraId="3CC08565">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default"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 xml:space="preserve">第43条 </w:t>
      </w:r>
      <w:bookmarkEnd w:id="207"/>
      <w:bookmarkEnd w:id="208"/>
      <w:r>
        <w:rPr>
          <w:rFonts w:hint="eastAsia" w:ascii="楷体" w:hAnsi="楷体" w:eastAsia="楷体" w:cs="楷体"/>
          <w:b w:val="0"/>
          <w:bCs w:val="0"/>
          <w:snapToGrid w:val="0"/>
          <w:color w:val="000000"/>
          <w:spacing w:val="-11"/>
          <w:kern w:val="0"/>
          <w:sz w:val="32"/>
          <w:szCs w:val="32"/>
          <w:highlight w:val="none"/>
          <w:lang w:val="en-US" w:eastAsia="zh-CN"/>
        </w:rPr>
        <w:t xml:space="preserve"> 建设用地分解</w:t>
      </w:r>
      <w:bookmarkEnd w:id="209"/>
      <w:bookmarkEnd w:id="210"/>
    </w:p>
    <w:p w14:paraId="290FB1C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zh-CN" w:eastAsia="zh-CN" w:bidi="ar-SA"/>
          <w14:ligatures w14:val="none"/>
        </w:rPr>
      </w:pPr>
      <w:r>
        <w:rPr>
          <w:rFonts w:hint="eastAsia" w:ascii="Times New Roman" w:hAnsi="Times New Roman" w:eastAsia="仿宋_GB2312" w:cs="Times New Roman"/>
          <w:kern w:val="2"/>
          <w:sz w:val="32"/>
          <w:szCs w:val="22"/>
          <w:highlight w:val="none"/>
          <w:lang w:val="zh-CN" w:eastAsia="zh-CN" w:bidi="ar-SA"/>
          <w14:ligatures w14:val="none"/>
        </w:rPr>
        <w:t>在充分保障农民宅基地用益物权、防止外部资本侵占控制的前提下，探索农村集体经济组织以出租、合作等方式盘活利用空闲农房及宅基地，按照规划要求和用地标准，建设改造农产品加工用地、设施农用地、养老设施等生产生活场所。综合考虑泥尔河乡各村庄发展需要，参照相关标准，适当调减村庄建设用地规模，预测规划期内建设用地变化，合理确定泥尔河乡乡政府驻地、村庄建设用地规模和人均建设用地指标。</w:t>
      </w:r>
    </w:p>
    <w:p w14:paraId="4F24D4C9">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第44条  乡域产业空间布局</w:t>
      </w:r>
      <w:bookmarkEnd w:id="199"/>
      <w:bookmarkEnd w:id="200"/>
    </w:p>
    <w:p w14:paraId="31987C6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规划构建“一核一轴两片区”的乡域产业空间格局。</w:t>
      </w:r>
    </w:p>
    <w:p w14:paraId="3FBDACF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一核：以进军村为核心的农业综合服务中心。</w:t>
      </w:r>
    </w:p>
    <w:p w14:paraId="28449280">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一轴：以县道301为发展轴带，位于泥尔河乡中部，与国道333相交，连接进军村等重要的村落。是泥尔河乡重要的农业生产支撑和农产品物流通道。</w:t>
      </w:r>
    </w:p>
    <w:p w14:paraId="581E3AC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两片区：“两片区”分为西北水稻主产区与东南玉米大豆主产区。西北片区是以努敏河流域为水稻主产区，在努敏河流域进行绿色水稻种植；东南片区是以墨尔根河流域为玉米大豆主产区，并依托锦辉米业发展农产品加工。</w:t>
      </w:r>
    </w:p>
    <w:bookmarkEnd w:id="201"/>
    <w:bookmarkEnd w:id="202"/>
    <w:p w14:paraId="7D0D02EA">
      <w:pPr>
        <w:pageBreakBefore w:val="0"/>
        <w:wordWrap/>
        <w:overflowPunct/>
        <w:bidi w:val="0"/>
        <w:spacing w:line="600" w:lineRule="exact"/>
        <w:ind w:left="0" w:leftChars="0" w:firstLine="0" w:firstLineChars="0"/>
        <w:rPr>
          <w:rFonts w:hint="eastAsia"/>
          <w:highlight w:val="none"/>
          <w:lang w:val="en-US" w:eastAsia="zh-CN"/>
        </w:rPr>
      </w:pPr>
      <w:bookmarkStart w:id="211" w:name="_Toc16186"/>
      <w:bookmarkStart w:id="212" w:name="_Toc22412"/>
      <w:bookmarkStart w:id="213" w:name="_Toc1553121681"/>
      <w:bookmarkStart w:id="214" w:name="_Toc17338"/>
      <w:bookmarkStart w:id="215" w:name="_Toc14577"/>
      <w:bookmarkStart w:id="216" w:name="_Toc27996"/>
      <w:r>
        <w:rPr>
          <w:rFonts w:hint="eastAsia" w:ascii="方正小标宋_GBK" w:hAnsi="方正小标宋_GBK" w:eastAsia="方正小标宋_GBK" w:cs="方正小标宋_GBK"/>
          <w:b w:val="0"/>
          <w:bCs w:val="0"/>
          <w:color w:val="000000"/>
          <w:kern w:val="0"/>
          <w:sz w:val="36"/>
          <w:szCs w:val="36"/>
          <w:highlight w:val="none"/>
          <w:lang w:val="en-US" w:eastAsia="zh-CN" w:bidi="ar"/>
        </w:rPr>
        <w:br w:type="page"/>
      </w:r>
    </w:p>
    <w:p w14:paraId="54788B2F">
      <w:pPr>
        <w:pStyle w:val="16"/>
        <w:keepNext/>
        <w:keepLines/>
        <w:pageBreakBefore w:val="0"/>
        <w:widowControl w:val="0"/>
        <w:numPr>
          <w:ilvl w:val="0"/>
          <w:numId w:val="0"/>
        </w:numPr>
        <w:kinsoku/>
        <w:wordWrap/>
        <w:overflowPunct/>
        <w:topLinePunct w:val="0"/>
        <w:autoSpaceDE/>
        <w:autoSpaceDN/>
        <w:bidi w:val="0"/>
        <w:adjustRightInd/>
        <w:snapToGrid/>
        <w:spacing w:before="0" w:line="600" w:lineRule="exact"/>
        <w:jc w:val="center"/>
        <w:textAlignment w:val="auto"/>
        <w:outlineLvl w:val="0"/>
        <w:rPr>
          <w:rFonts w:hint="eastAsia" w:ascii="方正小标宋_GBK" w:hAnsi="方正小标宋_GBK" w:eastAsia="方正小标宋_GBK" w:cs="方正小标宋_GBK"/>
          <w:b w:val="0"/>
          <w:bCs w:val="0"/>
          <w:color w:val="000000"/>
          <w:kern w:val="0"/>
          <w:sz w:val="36"/>
          <w:szCs w:val="36"/>
          <w:highlight w:val="none"/>
          <w:lang w:val="en-US" w:eastAsia="zh-CN" w:bidi="ar"/>
        </w:rPr>
      </w:pPr>
      <w:r>
        <w:rPr>
          <w:rFonts w:hint="eastAsia" w:ascii="方正小标宋_GBK" w:hAnsi="方正小标宋_GBK" w:eastAsia="方正小标宋_GBK" w:cs="方正小标宋_GBK"/>
          <w:b w:val="0"/>
          <w:bCs w:val="0"/>
          <w:color w:val="000000"/>
          <w:kern w:val="0"/>
          <w:sz w:val="36"/>
          <w:szCs w:val="36"/>
          <w:highlight w:val="none"/>
          <w:lang w:val="en-US" w:eastAsia="zh-CN" w:bidi="ar"/>
        </w:rPr>
        <w:t>第六章</w:t>
      </w:r>
      <w:r>
        <w:rPr>
          <w:rFonts w:hint="default" w:ascii="方正小标宋_GBK" w:hAnsi="方正小标宋_GBK" w:eastAsia="方正小标宋_GBK" w:cs="方正小标宋_GBK"/>
          <w:b w:val="0"/>
          <w:bCs w:val="0"/>
          <w:color w:val="000000"/>
          <w:kern w:val="0"/>
          <w:sz w:val="36"/>
          <w:szCs w:val="36"/>
          <w:highlight w:val="none"/>
          <w:lang w:val="en-US" w:eastAsia="zh-Hans" w:bidi="ar"/>
        </w:rPr>
        <w:t xml:space="preserve"> </w:t>
      </w:r>
      <w:bookmarkStart w:id="217" w:name="_Toc24404"/>
      <w:bookmarkStart w:id="218" w:name="_Toc20989"/>
      <w:r>
        <w:rPr>
          <w:rFonts w:hint="eastAsia" w:ascii="方正小标宋_GBK" w:hAnsi="方正小标宋_GBK" w:eastAsia="方正小标宋_GBK" w:cs="方正小标宋_GBK"/>
          <w:b w:val="0"/>
          <w:bCs w:val="0"/>
          <w:color w:val="000000"/>
          <w:kern w:val="0"/>
          <w:sz w:val="36"/>
          <w:szCs w:val="36"/>
          <w:highlight w:val="none"/>
          <w:lang w:val="en-US" w:eastAsia="zh-CN" w:bidi="ar"/>
        </w:rPr>
        <w:t xml:space="preserve"> 泥尔河乡乡政府驻地规划</w:t>
      </w:r>
      <w:bookmarkEnd w:id="211"/>
      <w:bookmarkEnd w:id="212"/>
      <w:bookmarkEnd w:id="213"/>
      <w:bookmarkEnd w:id="214"/>
      <w:bookmarkEnd w:id="215"/>
      <w:bookmarkEnd w:id="216"/>
      <w:bookmarkEnd w:id="217"/>
      <w:bookmarkEnd w:id="218"/>
    </w:p>
    <w:p w14:paraId="22738EF4">
      <w:pPr>
        <w:keepNext/>
        <w:keepLines/>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1"/>
        <w:rPr>
          <w:rFonts w:hint="default" w:ascii="黑体" w:hAnsi="黑体" w:eastAsia="黑体" w:cs="黑体"/>
          <w:b w:val="0"/>
          <w:bCs/>
          <w:kern w:val="2"/>
          <w:sz w:val="32"/>
          <w:szCs w:val="32"/>
          <w:highlight w:val="none"/>
          <w:lang w:val="en-US" w:eastAsia="zh-CN" w:bidi="ar-SA"/>
        </w:rPr>
      </w:pPr>
      <w:bookmarkStart w:id="219" w:name="_Toc3283"/>
      <w:bookmarkStart w:id="220" w:name="_Toc24571"/>
      <w:bookmarkStart w:id="221" w:name="_Toc19668"/>
      <w:bookmarkStart w:id="222" w:name="_Toc25325"/>
      <w:bookmarkStart w:id="223" w:name="_Toc27740"/>
      <w:bookmarkStart w:id="224" w:name="_Toc14762"/>
      <w:bookmarkStart w:id="225" w:name="_Toc13660"/>
      <w:bookmarkStart w:id="226" w:name="_Toc592"/>
      <w:r>
        <w:rPr>
          <w:rFonts w:hint="eastAsia" w:ascii="黑体" w:hAnsi="黑体" w:eastAsia="黑体" w:cs="黑体"/>
          <w:b w:val="0"/>
          <w:bCs/>
          <w:kern w:val="2"/>
          <w:sz w:val="32"/>
          <w:szCs w:val="32"/>
          <w:highlight w:val="none"/>
          <w:lang w:val="en-US" w:eastAsia="zh-CN" w:bidi="ar-SA"/>
        </w:rPr>
        <w:t>第一节  发展方向与</w:t>
      </w:r>
      <w:bookmarkEnd w:id="219"/>
      <w:bookmarkEnd w:id="220"/>
      <w:bookmarkEnd w:id="221"/>
      <w:r>
        <w:rPr>
          <w:rFonts w:hint="eastAsia" w:ascii="黑体" w:hAnsi="黑体" w:eastAsia="黑体" w:cs="黑体"/>
          <w:b w:val="0"/>
          <w:bCs/>
          <w:kern w:val="2"/>
          <w:sz w:val="32"/>
          <w:szCs w:val="32"/>
          <w:highlight w:val="none"/>
          <w:lang w:val="en-US" w:eastAsia="zh-CN" w:bidi="ar-SA"/>
        </w:rPr>
        <w:t>规模</w:t>
      </w:r>
    </w:p>
    <w:p w14:paraId="565F7DB4">
      <w:pPr>
        <w:pStyle w:val="5"/>
        <w:keepNext/>
        <w:keepLines/>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第45条  发展思路</w:t>
      </w:r>
    </w:p>
    <w:p w14:paraId="63B8B57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泥尔河乡乡政府驻地产业以现代农业为核心，依托农业资源及中心地区位条件与发展基础，结合国家推动乡村产业高质量发展的意见指导，提高中心地的土地利用效率，加快发展基础服务设施与农产品加工产业。</w:t>
      </w:r>
    </w:p>
    <w:p w14:paraId="6F9AC247">
      <w:pPr>
        <w:pStyle w:val="5"/>
        <w:pageBreakBefore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46</w:t>
      </w:r>
      <w:r>
        <w:rPr>
          <w:rFonts w:hint="eastAsia" w:ascii="楷体" w:hAnsi="楷体" w:eastAsia="楷体" w:cs="楷体"/>
          <w:b w:val="0"/>
          <w:bCs w:val="0"/>
          <w:sz w:val="32"/>
          <w:szCs w:val="32"/>
          <w:highlight w:val="none"/>
        </w:rPr>
        <w:t>条</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 xml:space="preserve"> 发展定位</w:t>
      </w:r>
    </w:p>
    <w:p w14:paraId="6C9536C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依托泥尔河乡优质农业资源及泥尔河乡乡政府驻地优良区位条件，打造泥尔河乡农产品加工和基础服务中心。</w:t>
      </w:r>
    </w:p>
    <w:p w14:paraId="726E1211">
      <w:pPr>
        <w:pStyle w:val="5"/>
        <w:pageBreakBefore w:val="0"/>
        <w:kinsoku/>
        <w:wordWrap/>
        <w:overflowPunct/>
        <w:topLinePunct w:val="0"/>
        <w:autoSpaceDE/>
        <w:autoSpaceDN/>
        <w:bidi w:val="0"/>
        <w:adjustRightInd/>
        <w:snapToGrid/>
        <w:spacing w:before="0" w:after="0" w:line="600" w:lineRule="exact"/>
        <w:ind w:firstLine="0" w:firstLineChars="0"/>
        <w:jc w:val="both"/>
        <w:textAlignment w:val="auto"/>
        <w:rPr>
          <w:rFonts w:hint="default"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第47条  发展规模</w:t>
      </w:r>
    </w:p>
    <w:p w14:paraId="43ABF43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规划至2035年，乡政府驻地常住人口规模为650人。</w:t>
      </w:r>
    </w:p>
    <w:p w14:paraId="386E5C1A">
      <w:pPr>
        <w:pStyle w:val="5"/>
        <w:keepNext/>
        <w:keepLines/>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第48条  规划目标</w:t>
      </w:r>
    </w:p>
    <w:p w14:paraId="60FF542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本轮规划致力于引进优质产业资源，开发泥尔河乡乡政府驻地产业园区，完善供水、排水、污水处理、垃圾转运等基础设施建设，对乡政府驻地土地进行高质量开发，打造泥尔河乡公共服务与产品加工中心。</w:t>
      </w:r>
    </w:p>
    <w:p w14:paraId="4F92C64B">
      <w:pPr>
        <w:pageBreakBefore w:val="0"/>
        <w:wordWrap/>
        <w:overflowPunct/>
        <w:bidi w:val="0"/>
        <w:spacing w:line="600" w:lineRule="exact"/>
        <w:ind w:left="0" w:leftChars="0" w:firstLine="0" w:firstLineChars="0"/>
        <w:rPr>
          <w:rFonts w:hint="eastAsia" w:ascii="黑体" w:hAnsi="黑体" w:eastAsia="黑体" w:cs="黑体"/>
          <w:b w:val="0"/>
          <w:bCs/>
          <w:kern w:val="2"/>
          <w:sz w:val="32"/>
          <w:szCs w:val="32"/>
          <w:highlight w:val="none"/>
          <w:lang w:val="en-US" w:eastAsia="zh-CN" w:bidi="ar-SA"/>
        </w:rPr>
      </w:pPr>
      <w:bookmarkStart w:id="227" w:name="_Toc25725"/>
      <w:bookmarkStart w:id="228" w:name="_Toc19143"/>
      <w:bookmarkStart w:id="229" w:name="_Toc26385"/>
    </w:p>
    <w:p w14:paraId="4DCB23F8">
      <w:pPr>
        <w:pageBreakBefore w:val="0"/>
        <w:wordWrap/>
        <w:overflowPunct/>
        <w:bidi w:val="0"/>
        <w:spacing w:line="600" w:lineRule="exact"/>
        <w:ind w:left="0" w:leftChars="0" w:firstLine="0" w:firstLineChars="0"/>
        <w:jc w:val="center"/>
        <w:rPr>
          <w:rFonts w:hint="eastAsia"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第二节  功能结构与空间布局</w:t>
      </w:r>
      <w:bookmarkEnd w:id="227"/>
      <w:bookmarkEnd w:id="228"/>
      <w:bookmarkEnd w:id="229"/>
    </w:p>
    <w:bookmarkEnd w:id="222"/>
    <w:bookmarkEnd w:id="223"/>
    <w:bookmarkEnd w:id="224"/>
    <w:bookmarkEnd w:id="225"/>
    <w:bookmarkEnd w:id="226"/>
    <w:p w14:paraId="5A8BB6DE">
      <w:pPr>
        <w:pStyle w:val="5"/>
        <w:keepNext/>
        <w:keepLines/>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第49条  划分规划分区</w:t>
      </w:r>
    </w:p>
    <w:p w14:paraId="085F599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按照结构优化、功能提升、弹性发展的总体思路，将乡政府驻地划分为居住生活区。</w:t>
      </w:r>
    </w:p>
    <w:p w14:paraId="3EDCF4B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居住生活区：以居住用地为主，兼容公共服务设施用地、绿地与广场用地等，鼓励多元功能的适度混合，避免重大妨害功能的干扰，提升居民生活质量。</w:t>
      </w:r>
    </w:p>
    <w:p w14:paraId="3475C293">
      <w:pPr>
        <w:ind w:left="0" w:leftChars="0" w:firstLine="0" w:firstLineChars="0"/>
        <w:rPr>
          <w:rFonts w:hint="eastAsia" w:ascii="黑体" w:hAnsi="黑体" w:eastAsia="黑体" w:cs="黑体"/>
          <w:b w:val="0"/>
          <w:bCs/>
          <w:kern w:val="2"/>
          <w:sz w:val="32"/>
          <w:szCs w:val="32"/>
          <w:highlight w:val="none"/>
          <w:lang w:val="en-US" w:eastAsia="zh-CN" w:bidi="ar-SA"/>
        </w:rPr>
      </w:pPr>
    </w:p>
    <w:p w14:paraId="54D320DF">
      <w:pPr>
        <w:ind w:left="0" w:leftChars="0" w:firstLine="0" w:firstLineChars="0"/>
        <w:jc w:val="center"/>
        <w:rPr>
          <w:rFonts w:hint="default"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第三节  绿地与开敞空间</w:t>
      </w:r>
    </w:p>
    <w:p w14:paraId="7150B2CE">
      <w:pPr>
        <w:pStyle w:val="5"/>
        <w:keepNext/>
        <w:keepLines/>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default"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第50条  绿地系统</w:t>
      </w:r>
    </w:p>
    <w:p w14:paraId="63A0ACF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乡政府驻地绿化系统应与全乡的绿化生态系统形成有机的联系，注重生态环境保护，形成贯穿于中心区域内外相互融合良好的绿化环境，同时将与乡政府驻地四周的生态绿地结合，以绿化通道、大型绿化节点、组团绿化等构成点、线有机结合分布的绿化系统。</w:t>
      </w:r>
    </w:p>
    <w:p w14:paraId="12428250">
      <w:pPr>
        <w:pStyle w:val="5"/>
        <w:pageBreakBefore w:val="0"/>
        <w:kinsoku/>
        <w:wordWrap/>
        <w:overflowPunct/>
        <w:topLinePunct w:val="0"/>
        <w:autoSpaceDE/>
        <w:autoSpaceDN/>
        <w:bidi w:val="0"/>
        <w:adjustRightInd/>
        <w:snapToGrid/>
        <w:spacing w:before="0" w:after="0" w:line="600" w:lineRule="exact"/>
        <w:ind w:firstLine="0" w:firstLineChars="0"/>
        <w:jc w:val="both"/>
        <w:textAlignment w:val="auto"/>
        <w:rPr>
          <w:rFonts w:hint="default"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第51条  绿地空间整体格局</w:t>
      </w:r>
    </w:p>
    <w:p w14:paraId="7DDE006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泥尔河乡公共绿地占地较小，现仅有广场1处，现规划乡政府驻地东北部乡政府门前两处坑塘水面和一处林地规划建设为公园。绿地系统形成“一心、一轴、多点”的规划结构。</w:t>
      </w:r>
    </w:p>
    <w:p w14:paraId="75020B1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一心——以</w:t>
      </w:r>
      <w:r>
        <w:rPr>
          <w:rFonts w:hint="eastAsia" w:ascii="Times New Roman" w:hAnsi="Times New Roman" w:eastAsia="仿宋_GB2312" w:cs="Times New Roman"/>
          <w:kern w:val="2"/>
          <w:sz w:val="32"/>
          <w:szCs w:val="22"/>
          <w:highlight w:val="none"/>
          <w:lang w:val="en-US" w:eastAsia="zh-CN" w:bidi="ar-SA"/>
          <w14:ligatures w14:val="none"/>
        </w:rPr>
        <w:t>县道301</w:t>
      </w:r>
      <w:r>
        <w:rPr>
          <w:rFonts w:hint="default" w:ascii="Times New Roman" w:hAnsi="Times New Roman" w:eastAsia="仿宋_GB2312" w:cs="Times New Roman"/>
          <w:kern w:val="2"/>
          <w:sz w:val="32"/>
          <w:szCs w:val="22"/>
          <w:highlight w:val="none"/>
          <w:lang w:val="en-US" w:eastAsia="zh-CN" w:bidi="ar-SA"/>
          <w14:ligatures w14:val="none"/>
        </w:rPr>
        <w:t>与乡道202交叉的十字路口作为景观绿地中心</w:t>
      </w:r>
      <w:r>
        <w:rPr>
          <w:rFonts w:hint="eastAsia" w:ascii="Times New Roman" w:hAnsi="Times New Roman" w:eastAsia="仿宋_GB2312" w:cs="Times New Roman"/>
          <w:kern w:val="2"/>
          <w:sz w:val="32"/>
          <w:szCs w:val="22"/>
          <w:highlight w:val="none"/>
          <w:lang w:val="en-US" w:eastAsia="zh-CN" w:bidi="ar-SA"/>
          <w14:ligatures w14:val="none"/>
        </w:rPr>
        <w:t>。</w:t>
      </w:r>
    </w:p>
    <w:p w14:paraId="52467CD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一轴——沿</w:t>
      </w:r>
      <w:r>
        <w:rPr>
          <w:rFonts w:hint="eastAsia" w:ascii="Times New Roman" w:hAnsi="Times New Roman" w:eastAsia="仿宋_GB2312" w:cs="Times New Roman"/>
          <w:kern w:val="2"/>
          <w:sz w:val="32"/>
          <w:szCs w:val="22"/>
          <w:highlight w:val="none"/>
          <w:lang w:val="en-US" w:eastAsia="zh-CN" w:bidi="ar-SA"/>
          <w14:ligatures w14:val="none"/>
        </w:rPr>
        <w:t>县道301</w:t>
      </w:r>
      <w:r>
        <w:rPr>
          <w:rFonts w:hint="default" w:ascii="Times New Roman" w:hAnsi="Times New Roman" w:eastAsia="仿宋_GB2312" w:cs="Times New Roman"/>
          <w:kern w:val="2"/>
          <w:sz w:val="32"/>
          <w:szCs w:val="22"/>
          <w:highlight w:val="none"/>
          <w:lang w:val="en-US" w:eastAsia="zh-CN" w:bidi="ar-SA"/>
          <w14:ligatures w14:val="none"/>
        </w:rPr>
        <w:t>打造道路景观轴线</w:t>
      </w:r>
      <w:r>
        <w:rPr>
          <w:rFonts w:hint="eastAsia" w:ascii="Times New Roman" w:hAnsi="Times New Roman" w:eastAsia="仿宋_GB2312" w:cs="Times New Roman"/>
          <w:kern w:val="2"/>
          <w:sz w:val="32"/>
          <w:szCs w:val="22"/>
          <w:highlight w:val="none"/>
          <w:lang w:val="en-US" w:eastAsia="zh-CN" w:bidi="ar-SA"/>
          <w14:ligatures w14:val="none"/>
        </w:rPr>
        <w:t>。</w:t>
      </w:r>
    </w:p>
    <w:p w14:paraId="209C1A6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default" w:ascii="Times New Roman" w:hAnsi="Times New Roman" w:eastAsia="仿宋_GB2312" w:cs="Times New Roman"/>
          <w:kern w:val="2"/>
          <w:sz w:val="32"/>
          <w:szCs w:val="22"/>
          <w:highlight w:val="none"/>
          <w:lang w:val="en-US" w:eastAsia="zh-CN" w:bidi="ar-SA"/>
          <w14:ligatures w14:val="none"/>
        </w:rPr>
        <w:t>多点——各个片区绿地组成的节点</w:t>
      </w:r>
      <w:r>
        <w:rPr>
          <w:rFonts w:hint="eastAsia" w:ascii="Times New Roman" w:hAnsi="Times New Roman" w:eastAsia="仿宋_GB2312" w:cs="Times New Roman"/>
          <w:kern w:val="2"/>
          <w:sz w:val="32"/>
          <w:szCs w:val="22"/>
          <w:highlight w:val="none"/>
          <w:lang w:val="en-US" w:eastAsia="zh-CN" w:bidi="ar-SA"/>
          <w14:ligatures w14:val="none"/>
        </w:rPr>
        <w:t>。</w:t>
      </w:r>
    </w:p>
    <w:p w14:paraId="2F18A4A5">
      <w:pPr>
        <w:ind w:left="0" w:leftChars="0" w:firstLine="0" w:firstLineChars="0"/>
        <w:rPr>
          <w:rFonts w:hint="eastAsia" w:ascii="黑体" w:hAnsi="黑体" w:eastAsia="黑体" w:cs="黑体"/>
          <w:b w:val="0"/>
          <w:bCs/>
          <w:kern w:val="2"/>
          <w:sz w:val="32"/>
          <w:szCs w:val="32"/>
          <w:highlight w:val="none"/>
          <w:lang w:val="en-US" w:eastAsia="zh-CN" w:bidi="ar-SA"/>
        </w:rPr>
      </w:pPr>
    </w:p>
    <w:p w14:paraId="4DBA99EE">
      <w:pPr>
        <w:ind w:left="0" w:leftChars="0" w:firstLine="0" w:firstLineChars="0"/>
        <w:jc w:val="center"/>
        <w:rPr>
          <w:rFonts w:hint="eastAsia"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第四节  完善道路与交通设施</w:t>
      </w:r>
    </w:p>
    <w:p w14:paraId="53953EA3">
      <w:pPr>
        <w:pStyle w:val="5"/>
        <w:pageBreakBefore w:val="0"/>
        <w:kinsoku/>
        <w:wordWrap/>
        <w:overflowPunct/>
        <w:topLinePunct w:val="0"/>
        <w:autoSpaceDE/>
        <w:autoSpaceDN/>
        <w:bidi w:val="0"/>
        <w:adjustRightInd/>
        <w:snapToGrid/>
        <w:spacing w:before="0" w:after="0" w:line="600" w:lineRule="exact"/>
        <w:ind w:firstLine="0" w:firstLineChars="0"/>
        <w:jc w:val="both"/>
        <w:textAlignment w:val="auto"/>
        <w:rPr>
          <w:rFonts w:hint="default"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第52条  路网结构与道路等级</w:t>
      </w:r>
    </w:p>
    <w:p w14:paraId="79E8EB8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乡政府驻地道路宽度分为16米、8米、6米三种道路宽度。10米道路主要为乡政府驻地主干道，8米道路主要为乡政府驻地次干道，6米道路主要为乡政府驻地支路。</w:t>
      </w:r>
    </w:p>
    <w:p w14:paraId="53E9F9C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乡政府驻地道路系统为两纵一横的道路格局和内部方格网状布局。两纵为乡道202、乡政街，一横为县道301贯穿乡政府驻地，是商业设施、服务设施布局的核心发展轴。道路两侧均有绿化带，起景观与防护的双重作用;其余道路均为支路，与干路构成乡政府驻地的路网系统，支路系统在划分用地上具有一定的灵活性，可以根据未来各片区的需要而适当调整、优化。</w:t>
      </w:r>
    </w:p>
    <w:p w14:paraId="676A4135">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jc w:val="both"/>
        <w:textAlignment w:val="auto"/>
        <w:outlineLvl w:val="9"/>
        <w:rPr>
          <w:rFonts w:hint="eastAsia" w:ascii="楷体" w:hAnsi="楷体" w:eastAsia="楷体" w:cs="楷体"/>
          <w:b w:val="0"/>
          <w:bCs w:val="0"/>
          <w:kern w:val="2"/>
          <w:sz w:val="32"/>
          <w:szCs w:val="32"/>
          <w:highlight w:val="none"/>
          <w:lang w:val="en-US" w:eastAsia="zh-CN" w:bidi="ar-SA"/>
        </w:rPr>
      </w:pPr>
      <w:r>
        <w:rPr>
          <w:rFonts w:hint="eastAsia" w:ascii="楷体" w:hAnsi="楷体" w:eastAsia="楷体" w:cs="楷体"/>
          <w:b w:val="0"/>
          <w:bCs w:val="0"/>
          <w:kern w:val="2"/>
          <w:sz w:val="32"/>
          <w:szCs w:val="32"/>
          <w:highlight w:val="none"/>
          <w:lang w:val="en-US" w:eastAsia="zh-CN" w:bidi="ar-SA"/>
        </w:rPr>
        <w:t>第53条  公共交通</w:t>
      </w:r>
    </w:p>
    <w:p w14:paraId="39F1B7C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泥尔河乡暂无公共交通设施，现阶段暂无公共交通规划。</w:t>
      </w:r>
    </w:p>
    <w:p w14:paraId="5CA9F26B">
      <w:pPr>
        <w:pStyle w:val="9"/>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1"/>
        <w:rPr>
          <w:rFonts w:hint="eastAsia" w:ascii="黑体" w:hAnsi="黑体" w:eastAsia="黑体" w:cs="黑体"/>
          <w:b w:val="0"/>
          <w:bCs/>
          <w:kern w:val="2"/>
          <w:sz w:val="32"/>
          <w:szCs w:val="32"/>
          <w:highlight w:val="none"/>
          <w:lang w:val="en-US" w:eastAsia="zh-CN" w:bidi="ar-SA"/>
        </w:rPr>
      </w:pPr>
    </w:p>
    <w:p w14:paraId="5D3EE06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p>
    <w:p w14:paraId="590999DF">
      <w:pPr>
        <w:ind w:left="0" w:leftChars="0" w:firstLine="0" w:firstLineChars="0"/>
        <w:jc w:val="center"/>
        <w:rPr>
          <w:rFonts w:hint="default" w:ascii="黑体" w:hAnsi="黑体" w:eastAsia="黑体" w:cs="黑体"/>
          <w:b w:val="0"/>
          <w:bCs/>
          <w:kern w:val="2"/>
          <w:sz w:val="32"/>
          <w:szCs w:val="32"/>
          <w:highlight w:val="none"/>
          <w:lang w:val="en-US" w:eastAsia="zh-CN" w:bidi="ar-SA"/>
        </w:rPr>
      </w:pPr>
      <w:bookmarkStart w:id="230" w:name="_Toc6672"/>
      <w:bookmarkStart w:id="231" w:name="_Toc16154"/>
      <w:bookmarkStart w:id="232" w:name="_Toc20529"/>
      <w:bookmarkStart w:id="233" w:name="_Toc30203"/>
      <w:bookmarkStart w:id="234" w:name="_Toc23301"/>
      <w:bookmarkStart w:id="235" w:name="_Toc1598"/>
      <w:r>
        <w:rPr>
          <w:rFonts w:hint="eastAsia" w:ascii="黑体" w:hAnsi="黑体" w:eastAsia="黑体" w:cs="黑体"/>
          <w:b w:val="0"/>
          <w:bCs/>
          <w:kern w:val="2"/>
          <w:sz w:val="32"/>
          <w:szCs w:val="32"/>
          <w:highlight w:val="none"/>
          <w:lang w:val="en-US" w:eastAsia="zh-CN" w:bidi="ar-SA"/>
        </w:rPr>
        <w:t>第五节  风貌管控</w:t>
      </w:r>
    </w:p>
    <w:p w14:paraId="118C49E3">
      <w:pPr>
        <w:pageBreakBefore w:val="0"/>
        <w:wordWrap/>
        <w:overflowPunct/>
        <w:bidi w:val="0"/>
        <w:spacing w:line="600" w:lineRule="exact"/>
        <w:ind w:left="0" w:leftChars="0" w:firstLine="0" w:firstLineChars="0"/>
        <w:rPr>
          <w:rFonts w:hint="default" w:ascii="楷体" w:hAnsi="楷体" w:eastAsia="楷体" w:cs="楷体"/>
          <w:b w:val="0"/>
          <w:bCs w:val="0"/>
          <w:snapToGrid w:val="0"/>
          <w:spacing w:val="-11"/>
          <w:kern w:val="0"/>
          <w:sz w:val="32"/>
          <w:szCs w:val="32"/>
          <w:highlight w:val="none"/>
          <w:lang w:val="en-US" w:eastAsia="zh-CN"/>
        </w:rPr>
      </w:pPr>
      <w:r>
        <w:rPr>
          <w:rFonts w:hint="eastAsia" w:ascii="楷体" w:hAnsi="楷体" w:eastAsia="楷体" w:cs="楷体"/>
          <w:b w:val="0"/>
          <w:bCs w:val="0"/>
          <w:snapToGrid w:val="0"/>
          <w:spacing w:val="-11"/>
          <w:kern w:val="0"/>
          <w:sz w:val="32"/>
          <w:szCs w:val="32"/>
          <w:highlight w:val="none"/>
          <w:lang w:val="en-US" w:eastAsia="zh-CN"/>
        </w:rPr>
        <w:t>第54条  风貌管控</w:t>
      </w:r>
    </w:p>
    <w:p w14:paraId="75527A9F">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20" w:firstLineChars="200"/>
        <w:jc w:val="left"/>
        <w:textAlignment w:val="auto"/>
        <w:rPr>
          <w:rFonts w:hint="eastAsia" w:ascii="仿宋_GB2312" w:hAnsi="仿宋_GB2312" w:eastAsia="仿宋_GB2312" w:cs="仿宋_GB2312"/>
          <w:color w:val="000000"/>
          <w:kern w:val="0"/>
          <w:sz w:val="31"/>
          <w:szCs w:val="31"/>
          <w:highlight w:val="none"/>
          <w:lang w:val="en-US" w:eastAsia="zh-CN" w:bidi="ar"/>
        </w:rPr>
      </w:pPr>
      <w:r>
        <w:rPr>
          <w:rFonts w:hint="eastAsia" w:ascii="仿宋_GB2312" w:hAnsi="仿宋_GB2312" w:eastAsia="仿宋_GB2312" w:cs="仿宋_GB2312"/>
          <w:color w:val="000000"/>
          <w:kern w:val="0"/>
          <w:sz w:val="31"/>
          <w:szCs w:val="31"/>
          <w:highlight w:val="none"/>
          <w:lang w:val="en-US" w:eastAsia="zh-CN" w:bidi="ar"/>
        </w:rPr>
        <w:t>根据绥棱县上位规划要求将泥尔河乡定位为绥棱县南部田城景融合风貌区。</w:t>
      </w:r>
    </w:p>
    <w:p w14:paraId="5F3E842C">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20" w:firstLineChars="200"/>
        <w:jc w:val="left"/>
        <w:textAlignment w:val="auto"/>
        <w:rPr>
          <w:rFonts w:hint="eastAsia" w:ascii="仿宋_GB2312" w:hAnsi="仿宋_GB2312" w:eastAsia="仿宋_GB2312" w:cs="仿宋_GB2312"/>
          <w:color w:val="000000"/>
          <w:kern w:val="0"/>
          <w:sz w:val="31"/>
          <w:szCs w:val="31"/>
          <w:highlight w:val="none"/>
          <w:lang w:val="en-US" w:eastAsia="zh-CN" w:bidi="ar"/>
        </w:rPr>
      </w:pPr>
      <w:r>
        <w:rPr>
          <w:rFonts w:hint="eastAsia" w:ascii="仿宋_GB2312" w:hAnsi="仿宋_GB2312" w:eastAsia="仿宋_GB2312" w:cs="仿宋_GB2312"/>
          <w:color w:val="000000"/>
          <w:kern w:val="0"/>
          <w:sz w:val="31"/>
          <w:szCs w:val="31"/>
          <w:highlight w:val="none"/>
          <w:lang w:val="en-US" w:eastAsia="zh-CN" w:bidi="ar"/>
        </w:rPr>
        <w:t>以生态为依托、以旅游为引擎、以文化为支撑的集休闲农业、民俗体验、红色旅游、康体养生等功能为一体。</w:t>
      </w:r>
    </w:p>
    <w:p w14:paraId="72B065D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楷体" w:hAnsi="楷体" w:eastAsia="楷体" w:cs="楷体"/>
          <w:b w:val="0"/>
          <w:bCs w:val="0"/>
          <w:snapToGrid w:val="0"/>
          <w:spacing w:val="-11"/>
          <w:kern w:val="0"/>
          <w:sz w:val="32"/>
          <w:szCs w:val="32"/>
          <w:highlight w:val="none"/>
          <w:lang w:val="en-US" w:eastAsia="zh-CN"/>
        </w:rPr>
      </w:pPr>
      <w:r>
        <w:rPr>
          <w:rFonts w:hint="eastAsia" w:ascii="楷体" w:hAnsi="楷体" w:eastAsia="楷体" w:cs="楷体"/>
          <w:b w:val="0"/>
          <w:bCs w:val="0"/>
          <w:snapToGrid w:val="0"/>
          <w:spacing w:val="-11"/>
          <w:kern w:val="0"/>
          <w:sz w:val="32"/>
          <w:szCs w:val="32"/>
          <w:highlight w:val="none"/>
          <w:lang w:val="en-US" w:eastAsia="zh-CN"/>
        </w:rPr>
        <w:t>第55条  乡村风貌塑造</w:t>
      </w:r>
    </w:p>
    <w:p w14:paraId="4894211A">
      <w:pPr>
        <w:pStyle w:val="16"/>
        <w:keepNext/>
        <w:keepLines/>
        <w:pageBreakBefore w:val="0"/>
        <w:widowControl w:val="0"/>
        <w:numPr>
          <w:ilvl w:val="0"/>
          <w:numId w:val="0"/>
        </w:numPr>
        <w:kinsoku/>
        <w:wordWrap/>
        <w:overflowPunct/>
        <w:topLinePunct w:val="0"/>
        <w:autoSpaceDE/>
        <w:autoSpaceDN/>
        <w:bidi w:val="0"/>
        <w:adjustRightInd/>
        <w:snapToGrid/>
        <w:spacing w:line="600" w:lineRule="exact"/>
        <w:ind w:firstLine="620" w:firstLineChars="200"/>
        <w:jc w:val="left"/>
        <w:textAlignment w:val="auto"/>
        <w:outlineLvl w:val="0"/>
        <w:rPr>
          <w:rFonts w:hint="eastAsia" w:ascii="仿宋_GB2312" w:hAnsi="仿宋_GB2312" w:eastAsia="仿宋_GB2312" w:cs="仿宋_GB2312"/>
          <w:b w:val="0"/>
          <w:bCs w:val="0"/>
          <w:color w:val="000000"/>
          <w:kern w:val="0"/>
          <w:sz w:val="31"/>
          <w:szCs w:val="31"/>
          <w:highlight w:val="none"/>
          <w:lang w:val="en-US" w:eastAsia="zh-CN" w:bidi="ar"/>
        </w:rPr>
      </w:pPr>
      <w:r>
        <w:rPr>
          <w:rFonts w:hint="eastAsia" w:ascii="仿宋_GB2312" w:hAnsi="仿宋_GB2312" w:eastAsia="仿宋_GB2312" w:cs="仿宋_GB2312"/>
          <w:b w:val="0"/>
          <w:bCs w:val="0"/>
          <w:color w:val="000000"/>
          <w:kern w:val="0"/>
          <w:sz w:val="31"/>
          <w:szCs w:val="31"/>
          <w:highlight w:val="none"/>
          <w:lang w:val="en-US" w:eastAsia="zh-CN" w:bidi="ar"/>
        </w:rPr>
        <w:t>乡村风貌应秉持生态优先理念、尊重村庄自然环境，做到统一整体风貌、营造协调村庄环境，着力挖掘地域乡土元素，塑造独特村庄特色。切实保护好村庄的传统格局以及自然田园景观等整体空间形态与环境，传承村庄文化底蕴。</w:t>
      </w:r>
    </w:p>
    <w:p w14:paraId="27B3CCF8">
      <w:pPr>
        <w:rPr>
          <w:rFonts w:hint="eastAsia"/>
          <w:highlight w:val="none"/>
          <w:lang w:val="en-US" w:eastAsia="zh-CN"/>
        </w:rPr>
      </w:pPr>
    </w:p>
    <w:p w14:paraId="1DA9D813">
      <w:pPr>
        <w:rPr>
          <w:rFonts w:hint="eastAsia"/>
          <w:highlight w:val="none"/>
          <w:lang w:val="en-US" w:eastAsia="zh-CN"/>
        </w:rPr>
      </w:pPr>
    </w:p>
    <w:p w14:paraId="2D5FD16A">
      <w:pPr>
        <w:rPr>
          <w:rFonts w:hint="eastAsia"/>
          <w:highlight w:val="none"/>
          <w:lang w:val="en-US" w:eastAsia="zh-CN"/>
        </w:rPr>
      </w:pPr>
    </w:p>
    <w:p w14:paraId="5B4F4663">
      <w:pPr>
        <w:rPr>
          <w:rFonts w:hint="eastAsia"/>
          <w:highlight w:val="none"/>
          <w:lang w:val="en-US" w:eastAsia="zh-CN"/>
        </w:rPr>
      </w:pPr>
    </w:p>
    <w:p w14:paraId="63CF69C7">
      <w:pPr>
        <w:rPr>
          <w:rFonts w:hint="eastAsia"/>
          <w:highlight w:val="none"/>
          <w:lang w:val="en-US" w:eastAsia="zh-CN"/>
        </w:rPr>
      </w:pPr>
    </w:p>
    <w:p w14:paraId="036802B6">
      <w:pPr>
        <w:rPr>
          <w:rFonts w:hint="eastAsia"/>
          <w:highlight w:val="none"/>
          <w:lang w:val="en-US" w:eastAsia="zh-CN"/>
        </w:rPr>
      </w:pPr>
    </w:p>
    <w:p w14:paraId="5A1B3D16">
      <w:pPr>
        <w:rPr>
          <w:rFonts w:hint="eastAsia"/>
          <w:highlight w:val="none"/>
          <w:lang w:val="en-US" w:eastAsia="zh-CN"/>
        </w:rPr>
      </w:pPr>
    </w:p>
    <w:p w14:paraId="1972B237">
      <w:pPr>
        <w:rPr>
          <w:rFonts w:hint="eastAsia"/>
          <w:highlight w:val="none"/>
          <w:lang w:val="en-US" w:eastAsia="zh-CN"/>
        </w:rPr>
      </w:pPr>
    </w:p>
    <w:p w14:paraId="468E04C7">
      <w:pPr>
        <w:rPr>
          <w:rFonts w:hint="eastAsia"/>
          <w:highlight w:val="none"/>
          <w:lang w:val="en-US" w:eastAsia="zh-CN"/>
        </w:rPr>
      </w:pPr>
    </w:p>
    <w:p w14:paraId="7AE97C1F">
      <w:pPr>
        <w:rPr>
          <w:rFonts w:hint="eastAsia"/>
          <w:highlight w:val="none"/>
          <w:lang w:val="en-US" w:eastAsia="zh-CN"/>
        </w:rPr>
      </w:pPr>
    </w:p>
    <w:p w14:paraId="6AAE3C8F">
      <w:pPr>
        <w:rPr>
          <w:rFonts w:hint="eastAsia"/>
          <w:highlight w:val="none"/>
          <w:lang w:val="en-US" w:eastAsia="zh-CN"/>
        </w:rPr>
      </w:pPr>
    </w:p>
    <w:p w14:paraId="42ECA78B">
      <w:pPr>
        <w:rPr>
          <w:rFonts w:hint="eastAsia"/>
          <w:highlight w:val="none"/>
          <w:lang w:val="en-US" w:eastAsia="zh-CN"/>
        </w:rPr>
      </w:pPr>
    </w:p>
    <w:p w14:paraId="288C4C1D">
      <w:pPr>
        <w:rPr>
          <w:rFonts w:hint="eastAsia"/>
          <w:highlight w:val="none"/>
          <w:lang w:val="en-US" w:eastAsia="zh-CN"/>
        </w:rPr>
      </w:pPr>
    </w:p>
    <w:p w14:paraId="6C4C4E3D">
      <w:pPr>
        <w:rPr>
          <w:rFonts w:hint="eastAsia"/>
          <w:highlight w:val="none"/>
          <w:lang w:val="en-US" w:eastAsia="zh-CN"/>
        </w:rPr>
      </w:pPr>
    </w:p>
    <w:p w14:paraId="2A4F4D66">
      <w:pPr>
        <w:rPr>
          <w:rFonts w:hint="eastAsia"/>
          <w:highlight w:val="none"/>
          <w:lang w:val="en-US" w:eastAsia="zh-CN"/>
        </w:rPr>
      </w:pPr>
    </w:p>
    <w:p w14:paraId="08BCD32E">
      <w:pPr>
        <w:rPr>
          <w:rFonts w:hint="eastAsia"/>
          <w:highlight w:val="none"/>
          <w:lang w:val="en-US" w:eastAsia="zh-CN"/>
        </w:rPr>
      </w:pPr>
    </w:p>
    <w:p w14:paraId="52EEEC9E">
      <w:pPr>
        <w:rPr>
          <w:rFonts w:hint="eastAsia"/>
          <w:highlight w:val="none"/>
          <w:lang w:val="en-US" w:eastAsia="zh-CN"/>
        </w:rPr>
      </w:pPr>
    </w:p>
    <w:p w14:paraId="750C8B1A">
      <w:pPr>
        <w:rPr>
          <w:rFonts w:hint="eastAsia"/>
          <w:highlight w:val="none"/>
          <w:lang w:val="en-US" w:eastAsia="zh-CN"/>
        </w:rPr>
      </w:pPr>
    </w:p>
    <w:p w14:paraId="45AFB67F">
      <w:pPr>
        <w:rPr>
          <w:rFonts w:hint="eastAsia"/>
          <w:highlight w:val="none"/>
          <w:lang w:val="en-US" w:eastAsia="zh-CN"/>
        </w:rPr>
      </w:pPr>
    </w:p>
    <w:p w14:paraId="6DA1137D">
      <w:pPr>
        <w:rPr>
          <w:rFonts w:hint="eastAsia"/>
          <w:highlight w:val="none"/>
          <w:lang w:val="en-US" w:eastAsia="zh-CN"/>
        </w:rPr>
      </w:pPr>
    </w:p>
    <w:p w14:paraId="676CE93E">
      <w:pPr>
        <w:rPr>
          <w:rFonts w:hint="eastAsia"/>
          <w:highlight w:val="none"/>
          <w:lang w:val="en-US" w:eastAsia="zh-CN"/>
        </w:rPr>
      </w:pPr>
    </w:p>
    <w:p w14:paraId="69803452">
      <w:pPr>
        <w:rPr>
          <w:rFonts w:hint="eastAsia"/>
          <w:highlight w:val="none"/>
          <w:lang w:val="en-US" w:eastAsia="zh-CN"/>
        </w:rPr>
      </w:pPr>
    </w:p>
    <w:p w14:paraId="341B2106">
      <w:pPr>
        <w:rPr>
          <w:rFonts w:hint="eastAsia"/>
          <w:highlight w:val="none"/>
          <w:lang w:val="en-US" w:eastAsia="zh-CN"/>
        </w:rPr>
      </w:pPr>
    </w:p>
    <w:p w14:paraId="5FE6738E">
      <w:pPr>
        <w:rPr>
          <w:rFonts w:hint="eastAsia"/>
          <w:highlight w:val="none"/>
          <w:lang w:val="en-US" w:eastAsia="zh-CN"/>
        </w:rPr>
      </w:pPr>
    </w:p>
    <w:p w14:paraId="01E7574C">
      <w:pPr>
        <w:rPr>
          <w:rFonts w:hint="eastAsia"/>
          <w:highlight w:val="none"/>
          <w:lang w:val="en-US" w:eastAsia="zh-CN"/>
        </w:rPr>
      </w:pPr>
    </w:p>
    <w:p w14:paraId="43990905">
      <w:pPr>
        <w:pStyle w:val="3"/>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auto"/>
        <w:rPr>
          <w:rFonts w:hint="eastAsia" w:ascii="方正小标宋_GBK" w:hAnsi="方正小标宋_GBK" w:eastAsia="方正小标宋_GBK" w:cs="方正小标宋_GBK"/>
          <w:b w:val="0"/>
          <w:bCs w:val="0"/>
          <w:sz w:val="36"/>
          <w:szCs w:val="36"/>
          <w:highlight w:val="none"/>
          <w:lang w:val="en-US" w:eastAsia="zh-CN"/>
        </w:rPr>
      </w:pPr>
      <w:bookmarkStart w:id="236" w:name="_Toc29888"/>
      <w:bookmarkStart w:id="237" w:name="_Toc2032"/>
      <w:bookmarkStart w:id="238" w:name="_Toc24572"/>
      <w:r>
        <w:rPr>
          <w:rFonts w:hint="eastAsia" w:ascii="方正小标宋_GBK" w:hAnsi="方正小标宋_GBK" w:eastAsia="方正小标宋_GBK" w:cs="方正小标宋_GBK"/>
          <w:b w:val="0"/>
          <w:bCs w:val="0"/>
          <w:sz w:val="36"/>
          <w:szCs w:val="36"/>
          <w:highlight w:val="none"/>
          <w:lang w:val="en-US" w:eastAsia="zh-CN"/>
        </w:rPr>
        <w:t>第七章  完善城乡设施支撑保障体系</w:t>
      </w:r>
      <w:bookmarkEnd w:id="236"/>
      <w:bookmarkEnd w:id="237"/>
      <w:bookmarkEnd w:id="238"/>
    </w:p>
    <w:bookmarkEnd w:id="230"/>
    <w:bookmarkEnd w:id="231"/>
    <w:bookmarkEnd w:id="232"/>
    <w:bookmarkEnd w:id="233"/>
    <w:bookmarkEnd w:id="234"/>
    <w:bookmarkEnd w:id="235"/>
    <w:p w14:paraId="76141AFC">
      <w:pPr>
        <w:ind w:left="0" w:leftChars="0" w:firstLine="0" w:firstLineChars="0"/>
        <w:rPr>
          <w:rFonts w:hint="eastAsia" w:ascii="黑体" w:hAnsi="黑体" w:eastAsia="黑体" w:cs="黑体"/>
          <w:b w:val="0"/>
          <w:bCs/>
          <w:kern w:val="2"/>
          <w:sz w:val="32"/>
          <w:szCs w:val="32"/>
          <w:highlight w:val="none"/>
          <w:lang w:val="en-US" w:eastAsia="zh-CN" w:bidi="ar-SA"/>
        </w:rPr>
      </w:pPr>
      <w:bookmarkStart w:id="239" w:name="_Toc28925"/>
      <w:bookmarkStart w:id="240" w:name="_Toc31650"/>
      <w:bookmarkStart w:id="241" w:name="_Toc22519"/>
      <w:bookmarkStart w:id="242" w:name="_Toc26861"/>
      <w:bookmarkStart w:id="243" w:name="_Toc31325"/>
      <w:bookmarkStart w:id="244" w:name="_Toc8136"/>
      <w:bookmarkStart w:id="245" w:name="_Toc25170"/>
    </w:p>
    <w:p w14:paraId="7A0A4F87">
      <w:pPr>
        <w:ind w:left="0" w:leftChars="0" w:firstLine="0" w:firstLineChars="0"/>
        <w:jc w:val="center"/>
        <w:rPr>
          <w:rFonts w:hint="eastAsia"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第一节  优化高效便捷的综合交通体系</w:t>
      </w:r>
      <w:bookmarkEnd w:id="239"/>
      <w:bookmarkEnd w:id="240"/>
      <w:bookmarkEnd w:id="241"/>
      <w:bookmarkEnd w:id="242"/>
      <w:bookmarkEnd w:id="243"/>
      <w:bookmarkEnd w:id="244"/>
      <w:bookmarkEnd w:id="245"/>
    </w:p>
    <w:p w14:paraId="15B94340">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bookmarkStart w:id="246" w:name="_Toc26380"/>
      <w:bookmarkStart w:id="247" w:name="_Toc25894"/>
      <w:bookmarkStart w:id="248" w:name="_Toc10225"/>
      <w:bookmarkStart w:id="249" w:name="_Toc26189"/>
      <w:r>
        <w:rPr>
          <w:rFonts w:hint="eastAsia" w:ascii="楷体" w:hAnsi="楷体" w:eastAsia="楷体" w:cs="楷体"/>
          <w:b w:val="0"/>
          <w:bCs w:val="0"/>
          <w:snapToGrid w:val="0"/>
          <w:color w:val="000000"/>
          <w:spacing w:val="-11"/>
          <w:kern w:val="0"/>
          <w:sz w:val="32"/>
          <w:szCs w:val="32"/>
          <w:highlight w:val="none"/>
          <w:lang w:val="en-US" w:eastAsia="zh-CN"/>
        </w:rPr>
        <w:t>第56条  公路交通现状概况</w:t>
      </w:r>
      <w:bookmarkEnd w:id="246"/>
      <w:bookmarkEnd w:id="247"/>
      <w:bookmarkEnd w:id="248"/>
      <w:bookmarkEnd w:id="249"/>
    </w:p>
    <w:p w14:paraId="7E2AB1B4">
      <w:pPr>
        <w:keepNext w:val="0"/>
        <w:keepLines w:val="0"/>
        <w:pageBreakBefore w:val="0"/>
        <w:widowControl/>
        <w:kinsoku/>
        <w:wordWrap/>
        <w:overflowPunct/>
        <w:topLinePunct w:val="0"/>
        <w:autoSpaceDE/>
        <w:autoSpaceDN/>
        <w:bidi w:val="0"/>
        <w:adjustRightInd/>
        <w:snapToGrid/>
        <w:spacing w:line="360" w:lineRule="auto"/>
        <w:ind w:firstLine="562"/>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泥尔河乡乡政府驻地为乡域交通中心，公路网较发达，初步形成了以乡政府驻地为中心，辐射全乡、联结周边地区的综合交通网络体系，乡域综合交通状况较好。</w:t>
      </w:r>
    </w:p>
    <w:p w14:paraId="6F338258">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default" w:ascii="楷体" w:hAnsi="楷体" w:eastAsia="楷体" w:cs="楷体"/>
          <w:b w:val="0"/>
          <w:bCs w:val="0"/>
          <w:snapToGrid w:val="0"/>
          <w:color w:val="000000"/>
          <w:spacing w:val="-11"/>
          <w:kern w:val="0"/>
          <w:sz w:val="32"/>
          <w:szCs w:val="32"/>
          <w:highlight w:val="none"/>
          <w:lang w:val="en-US" w:eastAsia="zh-CN"/>
        </w:rPr>
      </w:pPr>
      <w:bookmarkStart w:id="250" w:name="_Toc15921"/>
      <w:bookmarkStart w:id="251" w:name="_Toc26149"/>
      <w:bookmarkStart w:id="252" w:name="_Toc15136"/>
      <w:bookmarkStart w:id="253" w:name="_Toc3421"/>
      <w:r>
        <w:rPr>
          <w:rFonts w:hint="eastAsia" w:ascii="楷体" w:hAnsi="楷体" w:eastAsia="楷体" w:cs="楷体"/>
          <w:b w:val="0"/>
          <w:bCs w:val="0"/>
          <w:snapToGrid w:val="0"/>
          <w:color w:val="000000"/>
          <w:spacing w:val="-11"/>
          <w:kern w:val="0"/>
          <w:sz w:val="32"/>
          <w:szCs w:val="32"/>
          <w:highlight w:val="none"/>
          <w:lang w:val="en-US" w:eastAsia="zh-CN"/>
        </w:rPr>
        <w:t>第57条  发展目标与策略</w:t>
      </w:r>
    </w:p>
    <w:p w14:paraId="7B3F0DB4">
      <w:pPr>
        <w:pStyle w:val="9"/>
        <w:pageBreakBefore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优化乡村公路网。持续推进“四好农村路”高质量发展，有序推进农村公路整体技术等级提升，保持与农村公路相关联的经济节点通畅。截至规划期末，泥尔河乡实现乡域内道路交通系统完善畅通。</w:t>
      </w:r>
    </w:p>
    <w:p w14:paraId="6754F14A">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default"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第58条  对外交通</w:t>
      </w:r>
    </w:p>
    <w:p w14:paraId="6F32B13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泥尔河乡境内以公路为主，国道333与省道501过境，共有乡村公路10条，总长85千米。</w:t>
      </w:r>
    </w:p>
    <w:p w14:paraId="2EA2B61C">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第59条  公路交通规划</w:t>
      </w:r>
      <w:bookmarkEnd w:id="250"/>
      <w:bookmarkEnd w:id="251"/>
      <w:bookmarkEnd w:id="252"/>
      <w:bookmarkEnd w:id="253"/>
    </w:p>
    <w:p w14:paraId="0FC8B52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优化道路布局和设计：通过重新规划、改建、扩建村庄支线道路，完善并拓宽农村公路，逐步实现“大道通乡、乡村互联”的目标。重点优化各个行政村之间以及与乡政府驻地之间道路的质量，同时加强各村屯与三条交通干线的连接。</w:t>
      </w:r>
    </w:p>
    <w:p w14:paraId="6D494560">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加强道路安全管理：规划到2035年完成对乡道202、县道301完善路况升级，重点解决路面坑洼不平、排水不畅等情况，同时对路面较窄的路段进行加宽，在弯道路段设立交通标志，保证行车安全。</w:t>
      </w:r>
    </w:p>
    <w:p w14:paraId="4AE46071">
      <w:pPr>
        <w:keepNext/>
        <w:keepLines/>
        <w:pageBreakBefore w:val="0"/>
        <w:widowControl w:val="0"/>
        <w:kinsoku/>
        <w:wordWrap/>
        <w:overflowPunct/>
        <w:topLinePunct w:val="0"/>
        <w:autoSpaceDE/>
        <w:autoSpaceDN/>
        <w:bidi w:val="0"/>
        <w:adjustRightInd/>
        <w:snapToGrid/>
        <w:spacing w:before="91" w:line="600" w:lineRule="exact"/>
        <w:ind w:firstLine="0" w:firstLineChars="0"/>
        <w:jc w:val="left"/>
        <w:textAlignment w:val="auto"/>
        <w:outlineLvl w:val="2"/>
        <w:rPr>
          <w:rFonts w:hint="default" w:ascii="方正仿宋_GB2312" w:hAnsi="方正仿宋_GB2312" w:eastAsia="方正仿宋_GB2312" w:cs="方正仿宋_GB2312"/>
          <w:snapToGrid w:val="0"/>
          <w:color w:val="000000"/>
          <w:spacing w:val="-2"/>
          <w:kern w:val="0"/>
          <w:sz w:val="32"/>
          <w:szCs w:val="32"/>
          <w:highlight w:val="none"/>
          <w:lang w:val="en-US" w:eastAsia="zh-CN" w:bidi="ar-SA"/>
        </w:rPr>
      </w:pPr>
      <w:r>
        <w:rPr>
          <w:rFonts w:hint="eastAsia" w:ascii="楷体" w:hAnsi="楷体" w:eastAsia="楷体" w:cs="楷体"/>
          <w:b w:val="0"/>
          <w:bCs w:val="0"/>
          <w:snapToGrid w:val="0"/>
          <w:color w:val="000000"/>
          <w:spacing w:val="-11"/>
          <w:kern w:val="0"/>
          <w:sz w:val="32"/>
          <w:szCs w:val="32"/>
          <w:highlight w:val="none"/>
          <w:lang w:val="en-US" w:eastAsia="zh-CN"/>
        </w:rPr>
        <w:t>第60条  其它设施</w:t>
      </w:r>
    </w:p>
    <w:p w14:paraId="19C2F75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规划到2035年完成全乡域的道路交通网络升级，加强全乡域内道路交通管控，提升运营服务质量，优化乡村道路，实现乡村村屯之间畅联互通。</w:t>
      </w:r>
    </w:p>
    <w:p w14:paraId="7D29D08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p>
    <w:p w14:paraId="04D588D7">
      <w:pPr>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黑体" w:hAnsi="黑体" w:eastAsia="黑体" w:cs="黑体"/>
          <w:b w:val="0"/>
          <w:bCs/>
          <w:kern w:val="2"/>
          <w:sz w:val="32"/>
          <w:szCs w:val="32"/>
          <w:highlight w:val="none"/>
          <w:lang w:val="en-US" w:eastAsia="zh-CN" w:bidi="ar-SA"/>
        </w:rPr>
      </w:pPr>
      <w:bookmarkStart w:id="254" w:name="_Toc18280"/>
      <w:r>
        <w:rPr>
          <w:rFonts w:hint="eastAsia" w:ascii="黑体" w:hAnsi="黑体" w:eastAsia="黑体" w:cs="黑体"/>
          <w:b w:val="0"/>
          <w:bCs/>
          <w:kern w:val="2"/>
          <w:sz w:val="32"/>
          <w:szCs w:val="32"/>
          <w:highlight w:val="none"/>
          <w:lang w:val="en-US" w:eastAsia="zh-CN" w:bidi="ar-SA"/>
        </w:rPr>
        <w:t>第二节  公共服务设施体系</w:t>
      </w:r>
      <w:bookmarkEnd w:id="254"/>
    </w:p>
    <w:p w14:paraId="1915149B">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bookmarkStart w:id="255" w:name="_Toc17806"/>
      <w:bookmarkStart w:id="256" w:name="_Toc16187"/>
      <w:r>
        <w:rPr>
          <w:rFonts w:hint="eastAsia" w:ascii="楷体" w:hAnsi="楷体" w:eastAsia="楷体" w:cs="楷体"/>
          <w:b w:val="0"/>
          <w:bCs w:val="0"/>
          <w:snapToGrid w:val="0"/>
          <w:color w:val="000000"/>
          <w:spacing w:val="-11"/>
          <w:kern w:val="0"/>
          <w:sz w:val="32"/>
          <w:szCs w:val="32"/>
          <w:highlight w:val="none"/>
          <w:lang w:val="en-US" w:eastAsia="zh-CN"/>
        </w:rPr>
        <w:t>第61条  公共服务设施规划布局</w:t>
      </w:r>
      <w:bookmarkEnd w:id="255"/>
      <w:bookmarkEnd w:id="256"/>
    </w:p>
    <w:p w14:paraId="4CD6E74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按照基本公共服务均等化和设施共建共享的原则，结合乡镇和村庄的等级、规模、职能和服务功能等，综合考虑村民的出行距离、设施服务半径等因素，统筹配置教育、医疗、文化、体育、商业等公共服务设施，明确规划期间公共服务设施建设的主要任务和重点项目，引导村级公共服务资源优化整合，逐步实现乡村基本公共服务全覆盖。</w:t>
      </w:r>
    </w:p>
    <w:p w14:paraId="1B5A407F">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default"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第62条  公共服务设施体系配置标准</w:t>
      </w:r>
    </w:p>
    <w:p w14:paraId="2D9CA4F1">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u w:val="single"/>
          <w:lang w:val="en-US" w:eastAsia="zh-CN" w:bidi="ar-SA"/>
          <w14:ligatures w14:val="none"/>
        </w:rPr>
        <w:t>规划形成“乡政府驻地—村/组”两级公共服务设施体系。</w:t>
      </w:r>
      <w:r>
        <w:rPr>
          <w:rFonts w:hint="eastAsia" w:ascii="Times New Roman" w:hAnsi="Times New Roman" w:eastAsia="仿宋_GB2312" w:cs="Times New Roman"/>
          <w:kern w:val="2"/>
          <w:sz w:val="32"/>
          <w:szCs w:val="22"/>
          <w:highlight w:val="none"/>
          <w:lang w:val="en-US" w:eastAsia="zh-CN" w:bidi="ar-SA"/>
          <w14:ligatures w14:val="none"/>
        </w:rPr>
        <w:t>基于泥尔河乡规模结构，明确分级公共服务中心体系，提升镇村公共服务能力，提出不同空间层级的各类公共服务设施的差异化配置要求，实现乡域公共服务设施均等化配置。</w:t>
      </w:r>
    </w:p>
    <w:p w14:paraId="77163F6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5—10分钟生活圈。依托乡政府驻地划定乡级社区生活圈1个。配置卫生院、文化站、运动健身场地等公共服务设施，提高优质公共服务覆盖率。</w:t>
      </w:r>
    </w:p>
    <w:p w14:paraId="34BC5AE1">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15分钟生活圈。依托泥尔河乡除乡政府驻地的7个行政村，综合考虑乡村居民常用交通方式，划定村组生活圈7个。以满足村民日常生产、生活所需的行政管理、便民服务等需求为主。</w:t>
      </w:r>
      <w:bookmarkStart w:id="257" w:name="_Toc16094"/>
      <w:bookmarkStart w:id="258" w:name="_Toc28693"/>
    </w:p>
    <w:p w14:paraId="36AC44B1">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default"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 xml:space="preserve">第63条  </w:t>
      </w:r>
      <w:bookmarkEnd w:id="257"/>
      <w:bookmarkEnd w:id="258"/>
      <w:r>
        <w:rPr>
          <w:rFonts w:hint="eastAsia" w:ascii="楷体" w:hAnsi="楷体" w:eastAsia="楷体" w:cs="楷体"/>
          <w:b w:val="0"/>
          <w:bCs w:val="0"/>
          <w:snapToGrid w:val="0"/>
          <w:color w:val="000000"/>
          <w:spacing w:val="-11"/>
          <w:kern w:val="0"/>
          <w:sz w:val="32"/>
          <w:szCs w:val="32"/>
          <w:highlight w:val="none"/>
          <w:lang w:val="en-US" w:eastAsia="zh-CN"/>
        </w:rPr>
        <w:t>公共服务设施体系布局</w:t>
      </w:r>
    </w:p>
    <w:p w14:paraId="61BB830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1、行政管理设施</w:t>
      </w:r>
    </w:p>
    <w:p w14:paraId="064C9FA7">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乡政府驻地设置党政机关、司法机关两大方面的基础公共管理类设施。加快“放管服”向基层延伸，充分考虑村民办事习惯，各中心村设置党群服务中心或村务室。</w:t>
      </w:r>
    </w:p>
    <w:p w14:paraId="6A58036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2、文化设施</w:t>
      </w:r>
    </w:p>
    <w:p w14:paraId="4338BBC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乡政府驻地保留现状位于乡政府院内的乡文化活动室、每个行政村均配建文化活动室。</w:t>
      </w:r>
    </w:p>
    <w:p w14:paraId="375BCFF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3、教育设施</w:t>
      </w:r>
    </w:p>
    <w:p w14:paraId="3A2A623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根据人口变化趋势和区位情况，保留现状小学，其它行政村不配置教育设施，优化资源配置。</w:t>
      </w:r>
    </w:p>
    <w:p w14:paraId="0A29C4C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4、体育设施</w:t>
      </w:r>
    </w:p>
    <w:p w14:paraId="69EB22D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大力推行全民健身计划，积极拓宽体育活动领域，搞好体育设施建设。乡政府驻地设置室外综合健身场地，包括多功能运动场地、健身器械、健身场所、广场舞场地等。每个行政村设置村级健身广场1处。设置篮球、羽毛球、乒乓球及其他健身器械等，可结合村委会、广场、绿地综合设置。</w:t>
      </w:r>
    </w:p>
    <w:p w14:paraId="11F06A18">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5、医疗卫生设施</w:t>
      </w:r>
    </w:p>
    <w:p w14:paraId="736942C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乡政府驻地保留现状乡卫生院，位于乡政府驻地东部。卫生院建设标准按照三级卫生院执行，为乡域居民提供疾病预防、医疗保健、康复、健康教育、计生等医疗卫生服务。各行政村结合现状“一村一室”条件，进行提升或改造，确保各村卫生室功能完善。</w:t>
      </w:r>
    </w:p>
    <w:p w14:paraId="59B3EA8D">
      <w:pPr>
        <w:keepNext/>
        <w:keepLines/>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2"/>
        <w:rPr>
          <w:rFonts w:hint="eastAsia" w:ascii="楷体" w:hAnsi="楷体" w:eastAsia="楷体" w:cs="楷体"/>
          <w:b w:val="0"/>
          <w:bCs w:val="0"/>
          <w:snapToGrid w:val="0"/>
          <w:color w:val="000000"/>
          <w:spacing w:val="-11"/>
          <w:kern w:val="0"/>
          <w:sz w:val="32"/>
          <w:szCs w:val="32"/>
          <w:highlight w:val="none"/>
          <w:lang w:val="en-US" w:eastAsia="zh-CN"/>
        </w:rPr>
      </w:pPr>
      <w:r>
        <w:rPr>
          <w:rFonts w:hint="eastAsia" w:ascii="楷体" w:hAnsi="楷体" w:eastAsia="楷体" w:cs="楷体"/>
          <w:b w:val="0"/>
          <w:bCs w:val="0"/>
          <w:snapToGrid w:val="0"/>
          <w:color w:val="000000"/>
          <w:spacing w:val="-11"/>
          <w:kern w:val="0"/>
          <w:sz w:val="32"/>
          <w:szCs w:val="32"/>
          <w:highlight w:val="none"/>
          <w:lang w:val="en-US" w:eastAsia="zh-CN"/>
        </w:rPr>
        <w:t>第64条  生活圈系统规划</w:t>
      </w:r>
    </w:p>
    <w:p w14:paraId="2BFF935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1、5—10分钟生活圈规划</w:t>
      </w:r>
    </w:p>
    <w:p w14:paraId="5F1B978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建设便民利民的5—10分钟生活圈。宜基于乡政府驻地，结合居民生活出行特点和实际需要确定社区生活圈范围，并按照出行安全和便利的原则，尽量避免乡村主干路、河流等对其造成分割。该层级内配置面向全体村庄居民、内容丰富、规模适宜的各类服务要素。生活圈的服务半径约为500米，平均人口规模为5000人，至2035年，规划乡政府驻地公共服务设施5—10分钟步行可达率达100%。</w:t>
      </w:r>
    </w:p>
    <w:p w14:paraId="23791FA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5—10分钟生活圈居住区公共服务设施：初中、大型多功能活动场地、文化活动中心（含青少年、老年活动中心）、社区服务中心（乡级）、派出所等。</w:t>
      </w:r>
    </w:p>
    <w:p w14:paraId="26285AD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2、15分钟生活圈规划</w:t>
      </w:r>
    </w:p>
    <w:p w14:paraId="556BA77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宜结合行政村服务范围，配置村民日常使用，特别是面向老人、儿童的基本服务要素。15分钟层级服务要素宜灵活均衡布局，并与生活性街道、公共空间、绿道临近设置，保障老人、儿童的便捷友好使用。</w:t>
      </w:r>
    </w:p>
    <w:p w14:paraId="1E798BF6">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15分钟生活圈居住区公共服务设施：中型多功能活动场地、菜市场等。服务站、文化活动站、老年日间照料中心（托老所）、村卫生服务站等。</w:t>
      </w:r>
    </w:p>
    <w:p w14:paraId="6BFE0E39">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3、政府所在地社区生活圈公服设施配置标准</w:t>
      </w:r>
    </w:p>
    <w:p w14:paraId="117999BD">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依托乡政府所在地，统筹布局满足乡村居民日常生活、生产需求的各类服务要素，形成乡村社区生活圈的服务核心。</w:t>
      </w:r>
    </w:p>
    <w:tbl>
      <w:tblPr>
        <w:tblStyle w:val="18"/>
        <w:tblW w:w="47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226"/>
        <w:gridCol w:w="2193"/>
        <w:gridCol w:w="1192"/>
        <w:gridCol w:w="1716"/>
        <w:gridCol w:w="934"/>
      </w:tblGrid>
      <w:tr w14:paraId="773B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5000" w:type="pct"/>
            <w:gridSpan w:val="6"/>
            <w:noWrap w:val="0"/>
            <w:vAlign w:val="center"/>
          </w:tcPr>
          <w:p w14:paraId="7F492A86">
            <w:pPr>
              <w:keepNext w:val="0"/>
              <w:keepLines w:val="0"/>
              <w:pageBreakBefore w:val="0"/>
              <w:widowControl/>
              <w:suppressLineNumbers w:val="0"/>
              <w:kinsoku/>
              <w:wordWrap/>
              <w:overflowPunct/>
              <w:topLinePunct w:val="0"/>
              <w:bidi w:val="0"/>
              <w:spacing w:line="600" w:lineRule="exact"/>
              <w:jc w:val="center"/>
              <w:rPr>
                <w:rFonts w:hint="eastAsia" w:ascii="仿宋" w:hAnsi="仿宋" w:eastAsia="仿宋" w:cs="仿宋"/>
                <w:snapToGrid w:val="0"/>
                <w:color w:val="000000"/>
                <w:spacing w:val="8"/>
                <w:kern w:val="0"/>
                <w:sz w:val="31"/>
                <w:szCs w:val="31"/>
                <w:highlight w:val="none"/>
                <w:vertAlign w:val="baseline"/>
                <w:lang w:val="en-US" w:eastAsia="zh-CN" w:bidi="ar-SA"/>
              </w:rPr>
            </w:pPr>
            <w:r>
              <w:rPr>
                <w:rFonts w:ascii="黑体" w:hAnsi="黑体" w:eastAsia="黑体" w:cs="黑体"/>
                <w:spacing w:val="-3"/>
                <w:sz w:val="30"/>
                <w:szCs w:val="30"/>
                <w:highlight w:val="none"/>
                <w:lang w:val="en-US" w:eastAsia="zh-CN"/>
              </w:rPr>
              <w:t xml:space="preserve">专栏 </w:t>
            </w:r>
            <w:r>
              <w:rPr>
                <w:rFonts w:hint="eastAsia" w:ascii="黑体" w:hAnsi="黑体" w:eastAsia="黑体" w:cs="黑体"/>
                <w:spacing w:val="-3"/>
                <w:sz w:val="30"/>
                <w:szCs w:val="30"/>
                <w:highlight w:val="none"/>
                <w:lang w:val="en-US" w:eastAsia="zh-CN"/>
              </w:rPr>
              <w:t>2</w:t>
            </w:r>
            <w:r>
              <w:rPr>
                <w:rFonts w:ascii="黑体" w:hAnsi="黑体" w:eastAsia="黑体" w:cs="黑体"/>
                <w:spacing w:val="-3"/>
                <w:sz w:val="30"/>
                <w:szCs w:val="30"/>
                <w:highlight w:val="none"/>
                <w:lang w:val="en-US" w:eastAsia="zh-CN"/>
              </w:rPr>
              <w:t xml:space="preserve"> </w:t>
            </w:r>
            <w:r>
              <w:rPr>
                <w:rFonts w:hint="eastAsia" w:ascii="黑体" w:hAnsi="黑体" w:eastAsia="黑体" w:cs="黑体"/>
                <w:spacing w:val="-3"/>
                <w:sz w:val="30"/>
                <w:szCs w:val="30"/>
                <w:highlight w:val="none"/>
                <w:lang w:val="en-US" w:eastAsia="zh-CN"/>
              </w:rPr>
              <w:t>政府所在地</w:t>
            </w:r>
            <w:r>
              <w:rPr>
                <w:rFonts w:ascii="黑体" w:hAnsi="黑体" w:eastAsia="黑体" w:cs="黑体"/>
                <w:spacing w:val="-3"/>
                <w:sz w:val="30"/>
                <w:szCs w:val="30"/>
                <w:highlight w:val="none"/>
                <w:lang w:val="en-US" w:eastAsia="zh-CN"/>
              </w:rPr>
              <w:t>社区生活圈配置要求</w:t>
            </w:r>
          </w:p>
        </w:tc>
      </w:tr>
      <w:tr w14:paraId="2804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464" w:type="pct"/>
            <w:noWrap w:val="0"/>
            <w:vAlign w:val="center"/>
          </w:tcPr>
          <w:p w14:paraId="7AED0A8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要素</w:t>
            </w:r>
          </w:p>
          <w:p w14:paraId="15F9C0F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both"/>
              <w:textAlignment w:val="auto"/>
              <w:outlineLvl w:val="9"/>
              <w:rPr>
                <w:rFonts w:hint="eastAsia" w:ascii="仿宋" w:hAnsi="仿宋" w:eastAsia="仿宋" w:cs="仿宋"/>
                <w:snapToGrid w:val="0"/>
                <w:color w:val="000000"/>
                <w:spacing w:val="-4"/>
                <w:kern w:val="0"/>
                <w:sz w:val="24"/>
                <w:szCs w:val="24"/>
                <w:highlight w:val="none"/>
                <w:lang w:val="en-US" w:eastAsia="zh-CN" w:bidi="ar-SA"/>
              </w:rPr>
            </w:pPr>
            <w:r>
              <w:rPr>
                <w:rFonts w:hint="eastAsia" w:ascii="Times New Roman" w:hAnsi="Times New Roman" w:eastAsia="仿宋_GB2312" w:cs="Times New Roman"/>
                <w:kern w:val="2"/>
                <w:sz w:val="24"/>
                <w:szCs w:val="24"/>
                <w:highlight w:val="none"/>
                <w:lang w:val="en-US" w:eastAsia="zh-CN" w:bidi="ar-SA"/>
                <w14:ligatures w14:val="none"/>
              </w:rPr>
              <w:t>分项</w:t>
            </w:r>
          </w:p>
        </w:tc>
        <w:tc>
          <w:tcPr>
            <w:tcW w:w="765" w:type="pct"/>
            <w:noWrap w:val="0"/>
            <w:vAlign w:val="center"/>
          </w:tcPr>
          <w:p w14:paraId="16C88EC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要素</w:t>
            </w:r>
          </w:p>
          <w:p w14:paraId="097E4C8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名称</w:t>
            </w:r>
          </w:p>
        </w:tc>
        <w:tc>
          <w:tcPr>
            <w:tcW w:w="1369" w:type="pct"/>
            <w:noWrap w:val="0"/>
            <w:vAlign w:val="center"/>
          </w:tcPr>
          <w:p w14:paraId="4F5A363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规模性指标（建筑面积/用地面积/公顷）</w:t>
            </w:r>
          </w:p>
        </w:tc>
        <w:tc>
          <w:tcPr>
            <w:tcW w:w="744" w:type="pct"/>
            <w:noWrap w:val="0"/>
            <w:vAlign w:val="center"/>
          </w:tcPr>
          <w:p w14:paraId="6A87709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服务半径（米）</w:t>
            </w:r>
          </w:p>
        </w:tc>
        <w:tc>
          <w:tcPr>
            <w:tcW w:w="1071" w:type="pct"/>
            <w:noWrap w:val="0"/>
            <w:vAlign w:val="center"/>
          </w:tcPr>
          <w:p w14:paraId="1B68B92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配置要求</w:t>
            </w:r>
          </w:p>
        </w:tc>
        <w:tc>
          <w:tcPr>
            <w:tcW w:w="583" w:type="pct"/>
            <w:noWrap w:val="0"/>
            <w:vAlign w:val="center"/>
          </w:tcPr>
          <w:p w14:paraId="2DE79E1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效率性</w:t>
            </w:r>
          </w:p>
          <w:p w14:paraId="3D609B4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指标</w:t>
            </w:r>
          </w:p>
        </w:tc>
      </w:tr>
      <w:tr w14:paraId="1CC0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464" w:type="pct"/>
            <w:noWrap w:val="0"/>
            <w:vAlign w:val="center"/>
          </w:tcPr>
          <w:p w14:paraId="7CF2593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终身</w:t>
            </w:r>
          </w:p>
          <w:p w14:paraId="4029057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教育</w:t>
            </w:r>
          </w:p>
        </w:tc>
        <w:tc>
          <w:tcPr>
            <w:tcW w:w="765" w:type="pct"/>
            <w:noWrap w:val="0"/>
            <w:vAlign w:val="center"/>
          </w:tcPr>
          <w:p w14:paraId="3BC6E55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小学</w:t>
            </w:r>
          </w:p>
        </w:tc>
        <w:tc>
          <w:tcPr>
            <w:tcW w:w="1369" w:type="pct"/>
            <w:noWrap w:val="0"/>
            <w:vAlign w:val="center"/>
          </w:tcPr>
          <w:p w14:paraId="24B87C0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结合地区常住人口结构明确数量和规模，对于适龄人口减少的地区无需增加设施</w:t>
            </w:r>
          </w:p>
        </w:tc>
        <w:tc>
          <w:tcPr>
            <w:tcW w:w="744" w:type="pct"/>
            <w:noWrap w:val="0"/>
            <w:vAlign w:val="center"/>
          </w:tcPr>
          <w:p w14:paraId="7C34CEC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1071" w:type="pct"/>
            <w:noWrap w:val="0"/>
            <w:vAlign w:val="center"/>
          </w:tcPr>
          <w:p w14:paraId="39D37EE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每2.5万常住</w:t>
            </w:r>
          </w:p>
          <w:p w14:paraId="0F40E6E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人口配建</w:t>
            </w:r>
            <w:r>
              <w:rPr>
                <w:rFonts w:hint="default" w:ascii="Times New Roman" w:hAnsi="Times New Roman" w:eastAsia="仿宋_GB2312" w:cs="Times New Roman"/>
                <w:kern w:val="2"/>
                <w:sz w:val="24"/>
                <w:szCs w:val="24"/>
                <w:highlight w:val="none"/>
                <w:lang w:val="en-US" w:eastAsia="zh-CN" w:bidi="ar-SA"/>
                <w14:ligatures w14:val="none"/>
              </w:rPr>
              <w:t>1</w:t>
            </w:r>
            <w:r>
              <w:rPr>
                <w:rFonts w:hint="eastAsia" w:ascii="Times New Roman" w:hAnsi="Times New Roman" w:eastAsia="仿宋_GB2312" w:cs="Times New Roman"/>
                <w:kern w:val="2"/>
                <w:sz w:val="24"/>
                <w:szCs w:val="24"/>
                <w:highlight w:val="none"/>
                <w:lang w:val="en-US" w:eastAsia="zh-CN" w:bidi="ar-SA"/>
                <w14:ligatures w14:val="none"/>
              </w:rPr>
              <w:t>所</w:t>
            </w:r>
            <w:r>
              <w:rPr>
                <w:rFonts w:hint="default" w:ascii="Times New Roman" w:hAnsi="Times New Roman" w:eastAsia="仿宋_GB2312" w:cs="Times New Roman"/>
                <w:kern w:val="2"/>
                <w:sz w:val="24"/>
                <w:szCs w:val="24"/>
                <w:highlight w:val="none"/>
                <w:lang w:val="en-US" w:eastAsia="zh-CN" w:bidi="ar-SA"/>
                <w14:ligatures w14:val="none"/>
              </w:rPr>
              <w:t>20</w:t>
            </w:r>
            <w:r>
              <w:rPr>
                <w:rFonts w:hint="eastAsia" w:ascii="Times New Roman" w:hAnsi="Times New Roman" w:eastAsia="仿宋_GB2312" w:cs="Times New Roman"/>
                <w:kern w:val="2"/>
                <w:sz w:val="24"/>
                <w:szCs w:val="24"/>
                <w:highlight w:val="none"/>
                <w:lang w:val="en-US" w:eastAsia="zh-CN" w:bidi="ar-SA"/>
                <w14:ligatures w14:val="none"/>
              </w:rPr>
              <w:t>班小学</w:t>
            </w:r>
          </w:p>
        </w:tc>
        <w:tc>
          <w:tcPr>
            <w:tcW w:w="583" w:type="pct"/>
            <w:noWrap w:val="0"/>
            <w:vAlign w:val="center"/>
          </w:tcPr>
          <w:p w14:paraId="3FADC9D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应独立占地</w:t>
            </w:r>
          </w:p>
        </w:tc>
      </w:tr>
      <w:tr w14:paraId="2168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464" w:type="pct"/>
            <w:vMerge w:val="restart"/>
            <w:noWrap w:val="0"/>
            <w:vAlign w:val="center"/>
          </w:tcPr>
          <w:p w14:paraId="0A1B5F3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文化</w:t>
            </w:r>
          </w:p>
          <w:p w14:paraId="59DD723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活动</w:t>
            </w:r>
          </w:p>
        </w:tc>
        <w:tc>
          <w:tcPr>
            <w:tcW w:w="765" w:type="pct"/>
            <w:noWrap w:val="0"/>
            <w:vAlign w:val="center"/>
          </w:tcPr>
          <w:p w14:paraId="4DB3D66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文化活动中心</w:t>
            </w:r>
          </w:p>
        </w:tc>
        <w:tc>
          <w:tcPr>
            <w:tcW w:w="1369" w:type="pct"/>
            <w:noWrap w:val="0"/>
            <w:vAlign w:val="center"/>
          </w:tcPr>
          <w:p w14:paraId="46E930A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0.03-1.2</w:t>
            </w:r>
          </w:p>
          <w:p w14:paraId="2597917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（用地面积）</w:t>
            </w:r>
          </w:p>
        </w:tc>
        <w:tc>
          <w:tcPr>
            <w:tcW w:w="744" w:type="pct"/>
            <w:noWrap w:val="0"/>
            <w:vAlign w:val="center"/>
          </w:tcPr>
          <w:p w14:paraId="7662C30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1071" w:type="pct"/>
            <w:noWrap w:val="0"/>
            <w:vAlign w:val="center"/>
          </w:tcPr>
          <w:p w14:paraId="23F8407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规划人口5万以上的乡</w:t>
            </w:r>
            <w:r>
              <w:rPr>
                <w:rFonts w:hint="default" w:ascii="Times New Roman" w:hAnsi="Times New Roman" w:eastAsia="仿宋_GB2312" w:cs="Times New Roman"/>
                <w:kern w:val="2"/>
                <w:sz w:val="24"/>
                <w:szCs w:val="24"/>
                <w:highlight w:val="none"/>
                <w:lang w:val="en-US" w:eastAsia="zh-CN" w:bidi="ar-SA"/>
                <w14:ligatures w14:val="none"/>
              </w:rPr>
              <w:t>/</w:t>
            </w:r>
            <w:r>
              <w:rPr>
                <w:rFonts w:hint="eastAsia" w:ascii="Times New Roman" w:hAnsi="Times New Roman" w:eastAsia="仿宋_GB2312" w:cs="Times New Roman"/>
                <w:kern w:val="2"/>
                <w:sz w:val="24"/>
                <w:szCs w:val="24"/>
                <w:highlight w:val="none"/>
                <w:lang w:val="en-US" w:eastAsia="zh-CN" w:bidi="ar-SA"/>
                <w14:ligatures w14:val="none"/>
              </w:rPr>
              <w:t>集镇宜设置</w:t>
            </w:r>
          </w:p>
        </w:tc>
        <w:tc>
          <w:tcPr>
            <w:tcW w:w="583" w:type="pct"/>
            <w:vMerge w:val="restart"/>
            <w:noWrap w:val="0"/>
            <w:vAlign w:val="center"/>
          </w:tcPr>
          <w:p w14:paraId="45DDB0E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可综合</w:t>
            </w:r>
          </w:p>
          <w:p w14:paraId="6863EF4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仿宋" w:hAnsi="仿宋" w:eastAsia="仿宋" w:cs="仿宋"/>
                <w:snapToGrid w:val="0"/>
                <w:color w:val="000000"/>
                <w:spacing w:val="-4"/>
                <w:kern w:val="0"/>
                <w:sz w:val="24"/>
                <w:szCs w:val="24"/>
                <w:highlight w:val="none"/>
                <w:lang w:val="en-US" w:eastAsia="zh-CN" w:bidi="ar-SA"/>
              </w:rPr>
            </w:pPr>
            <w:r>
              <w:rPr>
                <w:rFonts w:hint="eastAsia" w:ascii="Times New Roman" w:hAnsi="Times New Roman" w:eastAsia="仿宋_GB2312" w:cs="Times New Roman"/>
                <w:kern w:val="2"/>
                <w:sz w:val="24"/>
                <w:szCs w:val="24"/>
                <w:highlight w:val="none"/>
                <w:lang w:val="en-US" w:eastAsia="zh-CN" w:bidi="ar-SA"/>
                <w14:ligatures w14:val="none"/>
              </w:rPr>
              <w:t>设置</w:t>
            </w:r>
          </w:p>
        </w:tc>
      </w:tr>
      <w:tr w14:paraId="20EC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464" w:type="pct"/>
            <w:vMerge w:val="continue"/>
            <w:noWrap w:val="0"/>
            <w:vAlign w:val="center"/>
          </w:tcPr>
          <w:p w14:paraId="1B3ED96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p>
        </w:tc>
        <w:tc>
          <w:tcPr>
            <w:tcW w:w="765" w:type="pct"/>
            <w:noWrap w:val="0"/>
            <w:vAlign w:val="center"/>
          </w:tcPr>
          <w:p w14:paraId="75FEFBB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文化活动站</w:t>
            </w:r>
          </w:p>
        </w:tc>
        <w:tc>
          <w:tcPr>
            <w:tcW w:w="1369" w:type="pct"/>
            <w:noWrap w:val="0"/>
            <w:vAlign w:val="center"/>
          </w:tcPr>
          <w:p w14:paraId="67A35CD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0.02</w:t>
            </w:r>
          </w:p>
          <w:p w14:paraId="0A12DC8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（建筑面积）</w:t>
            </w:r>
          </w:p>
        </w:tc>
        <w:tc>
          <w:tcPr>
            <w:tcW w:w="744" w:type="pct"/>
            <w:noWrap w:val="0"/>
            <w:vAlign w:val="center"/>
          </w:tcPr>
          <w:p w14:paraId="125D0CC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1071" w:type="pct"/>
            <w:noWrap w:val="0"/>
            <w:vAlign w:val="center"/>
          </w:tcPr>
          <w:p w14:paraId="7EF68D2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各乡/集镇至少设一处</w:t>
            </w:r>
          </w:p>
        </w:tc>
        <w:tc>
          <w:tcPr>
            <w:tcW w:w="583" w:type="pct"/>
            <w:vMerge w:val="continue"/>
            <w:noWrap w:val="0"/>
            <w:vAlign w:val="center"/>
          </w:tcPr>
          <w:p w14:paraId="36B155F1">
            <w:pPr>
              <w:keepNext w:val="0"/>
              <w:keepLines w:val="0"/>
              <w:pageBreakBefore w:val="0"/>
              <w:widowControl/>
              <w:suppressLineNumbers w:val="0"/>
              <w:kinsoku/>
              <w:wordWrap/>
              <w:overflowPunct/>
              <w:topLinePunct w:val="0"/>
              <w:autoSpaceDE w:val="0"/>
              <w:autoSpaceDN w:val="0"/>
              <w:bidi w:val="0"/>
              <w:adjustRightInd w:val="0"/>
              <w:snapToGrid w:val="0"/>
              <w:spacing w:line="600" w:lineRule="exact"/>
              <w:ind w:firstLine="0" w:firstLineChars="0"/>
              <w:jc w:val="center"/>
              <w:textAlignment w:val="baseline"/>
              <w:rPr>
                <w:rFonts w:hint="eastAsia" w:ascii="仿宋" w:hAnsi="仿宋" w:eastAsia="仿宋" w:cs="仿宋"/>
                <w:snapToGrid w:val="0"/>
                <w:color w:val="000000"/>
                <w:spacing w:val="-4"/>
                <w:kern w:val="0"/>
                <w:sz w:val="24"/>
                <w:szCs w:val="24"/>
                <w:highlight w:val="none"/>
                <w:lang w:val="en-US" w:eastAsia="zh-CN" w:bidi="ar-SA"/>
              </w:rPr>
            </w:pPr>
          </w:p>
        </w:tc>
      </w:tr>
      <w:tr w14:paraId="4511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464" w:type="pct"/>
            <w:vMerge w:val="restart"/>
            <w:noWrap w:val="0"/>
            <w:vAlign w:val="center"/>
          </w:tcPr>
          <w:p w14:paraId="2EE465A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体育</w:t>
            </w:r>
          </w:p>
          <w:p w14:paraId="2A7978C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健身</w:t>
            </w:r>
          </w:p>
        </w:tc>
        <w:tc>
          <w:tcPr>
            <w:tcW w:w="765" w:type="pct"/>
            <w:noWrap w:val="0"/>
            <w:vAlign w:val="center"/>
          </w:tcPr>
          <w:p w14:paraId="506CE63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乡镇体育中心</w:t>
            </w:r>
          </w:p>
        </w:tc>
        <w:tc>
          <w:tcPr>
            <w:tcW w:w="1369" w:type="pct"/>
            <w:noWrap w:val="0"/>
            <w:vAlign w:val="center"/>
          </w:tcPr>
          <w:p w14:paraId="78379B1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0.2-0.5</w:t>
            </w:r>
          </w:p>
          <w:p w14:paraId="262476F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（用地面积）</w:t>
            </w:r>
          </w:p>
        </w:tc>
        <w:tc>
          <w:tcPr>
            <w:tcW w:w="744" w:type="pct"/>
            <w:noWrap w:val="0"/>
            <w:vAlign w:val="center"/>
          </w:tcPr>
          <w:p w14:paraId="186390B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1071" w:type="pct"/>
            <w:noWrap w:val="0"/>
            <w:vAlign w:val="center"/>
          </w:tcPr>
          <w:p w14:paraId="6844BF1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规划人口5万以上的乡</w:t>
            </w:r>
            <w:r>
              <w:rPr>
                <w:rFonts w:hint="default" w:ascii="Times New Roman" w:hAnsi="Times New Roman" w:eastAsia="仿宋_GB2312" w:cs="Times New Roman"/>
                <w:kern w:val="2"/>
                <w:sz w:val="24"/>
                <w:szCs w:val="24"/>
                <w:highlight w:val="none"/>
                <w:lang w:val="en-US" w:eastAsia="zh-CN" w:bidi="ar-SA"/>
                <w14:ligatures w14:val="none"/>
              </w:rPr>
              <w:t>/</w:t>
            </w:r>
            <w:r>
              <w:rPr>
                <w:rFonts w:hint="eastAsia" w:ascii="Times New Roman" w:hAnsi="Times New Roman" w:eastAsia="仿宋_GB2312" w:cs="Times New Roman"/>
                <w:kern w:val="2"/>
                <w:sz w:val="24"/>
                <w:szCs w:val="24"/>
                <w:highlight w:val="none"/>
                <w:lang w:val="en-US" w:eastAsia="zh-CN" w:bidi="ar-SA"/>
                <w14:ligatures w14:val="none"/>
              </w:rPr>
              <w:t>集镇宜设置</w:t>
            </w:r>
          </w:p>
        </w:tc>
        <w:tc>
          <w:tcPr>
            <w:tcW w:w="583" w:type="pct"/>
            <w:vMerge w:val="restart"/>
            <w:noWrap w:val="0"/>
            <w:vAlign w:val="center"/>
          </w:tcPr>
          <w:p w14:paraId="6DB5AAD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宜独立</w:t>
            </w:r>
          </w:p>
          <w:p w14:paraId="6B582A8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仿宋" w:hAnsi="仿宋" w:eastAsia="仿宋" w:cs="仿宋"/>
                <w:snapToGrid w:val="0"/>
                <w:color w:val="000000"/>
                <w:spacing w:val="-4"/>
                <w:kern w:val="0"/>
                <w:sz w:val="24"/>
                <w:szCs w:val="24"/>
                <w:highlight w:val="none"/>
                <w:lang w:val="en-US" w:eastAsia="zh-CN" w:bidi="ar-SA"/>
              </w:rPr>
            </w:pPr>
            <w:r>
              <w:rPr>
                <w:rFonts w:hint="eastAsia" w:ascii="Times New Roman" w:hAnsi="Times New Roman" w:eastAsia="仿宋_GB2312" w:cs="Times New Roman"/>
                <w:kern w:val="2"/>
                <w:sz w:val="24"/>
                <w:szCs w:val="24"/>
                <w:highlight w:val="none"/>
                <w:lang w:val="en-US" w:eastAsia="zh-CN" w:bidi="ar-SA"/>
                <w14:ligatures w14:val="none"/>
              </w:rPr>
              <w:t>占地</w:t>
            </w:r>
          </w:p>
        </w:tc>
      </w:tr>
      <w:tr w14:paraId="784E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464" w:type="pct"/>
            <w:vMerge w:val="continue"/>
            <w:noWrap w:val="0"/>
            <w:vAlign w:val="center"/>
          </w:tcPr>
          <w:p w14:paraId="108715F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p>
        </w:tc>
        <w:tc>
          <w:tcPr>
            <w:tcW w:w="765" w:type="pct"/>
            <w:noWrap w:val="0"/>
            <w:vAlign w:val="center"/>
          </w:tcPr>
          <w:p w14:paraId="375B39C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室外综合</w:t>
            </w:r>
          </w:p>
          <w:p w14:paraId="1F29A95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健身场地</w:t>
            </w:r>
          </w:p>
        </w:tc>
        <w:tc>
          <w:tcPr>
            <w:tcW w:w="1369" w:type="pct"/>
            <w:noWrap w:val="0"/>
            <w:vAlign w:val="center"/>
          </w:tcPr>
          <w:p w14:paraId="03BF958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 xml:space="preserve">0.04 </w:t>
            </w:r>
          </w:p>
          <w:p w14:paraId="569D42F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（用地面积）</w:t>
            </w:r>
          </w:p>
        </w:tc>
        <w:tc>
          <w:tcPr>
            <w:tcW w:w="744" w:type="pct"/>
            <w:noWrap w:val="0"/>
            <w:vAlign w:val="center"/>
          </w:tcPr>
          <w:p w14:paraId="49C09FD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300</w:t>
            </w:r>
          </w:p>
        </w:tc>
        <w:tc>
          <w:tcPr>
            <w:tcW w:w="1071" w:type="pct"/>
            <w:noWrap w:val="0"/>
            <w:vAlign w:val="center"/>
          </w:tcPr>
          <w:p w14:paraId="67EBAD9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583" w:type="pct"/>
            <w:vMerge w:val="continue"/>
            <w:noWrap w:val="0"/>
            <w:vAlign w:val="center"/>
          </w:tcPr>
          <w:p w14:paraId="79C92D41">
            <w:pPr>
              <w:keepNext w:val="0"/>
              <w:keepLines w:val="0"/>
              <w:pageBreakBefore w:val="0"/>
              <w:widowControl/>
              <w:suppressLineNumbers w:val="0"/>
              <w:kinsoku/>
              <w:wordWrap/>
              <w:overflowPunct/>
              <w:topLinePunct w:val="0"/>
              <w:autoSpaceDE w:val="0"/>
              <w:autoSpaceDN w:val="0"/>
              <w:bidi w:val="0"/>
              <w:adjustRightInd w:val="0"/>
              <w:snapToGrid w:val="0"/>
              <w:spacing w:line="600" w:lineRule="exact"/>
              <w:ind w:firstLine="0" w:firstLineChars="0"/>
              <w:jc w:val="center"/>
              <w:textAlignment w:val="baseline"/>
              <w:rPr>
                <w:rFonts w:hint="eastAsia" w:ascii="仿宋" w:hAnsi="仿宋" w:eastAsia="仿宋" w:cs="仿宋"/>
                <w:snapToGrid w:val="0"/>
                <w:color w:val="000000"/>
                <w:spacing w:val="-4"/>
                <w:kern w:val="0"/>
                <w:sz w:val="24"/>
                <w:szCs w:val="24"/>
                <w:highlight w:val="none"/>
                <w:lang w:val="en-US" w:eastAsia="zh-CN" w:bidi="ar-SA"/>
              </w:rPr>
            </w:pPr>
          </w:p>
        </w:tc>
      </w:tr>
      <w:tr w14:paraId="0C54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464" w:type="pct"/>
            <w:vMerge w:val="restart"/>
            <w:noWrap w:val="0"/>
            <w:vAlign w:val="center"/>
          </w:tcPr>
          <w:p w14:paraId="308D2CB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健康</w:t>
            </w:r>
          </w:p>
          <w:p w14:paraId="1A82FB5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仿宋" w:hAnsi="仿宋" w:eastAsia="仿宋" w:cs="仿宋"/>
                <w:snapToGrid w:val="0"/>
                <w:color w:val="000000"/>
                <w:spacing w:val="-4"/>
                <w:kern w:val="0"/>
                <w:sz w:val="24"/>
                <w:szCs w:val="24"/>
                <w:highlight w:val="none"/>
                <w:lang w:val="en-US" w:eastAsia="zh-CN" w:bidi="ar-SA"/>
              </w:rPr>
            </w:pPr>
            <w:r>
              <w:rPr>
                <w:rFonts w:hint="eastAsia" w:ascii="Times New Roman" w:hAnsi="Times New Roman" w:eastAsia="仿宋_GB2312" w:cs="Times New Roman"/>
                <w:kern w:val="2"/>
                <w:sz w:val="24"/>
                <w:szCs w:val="24"/>
                <w:highlight w:val="none"/>
                <w:lang w:val="en-US" w:eastAsia="zh-CN" w:bidi="ar-SA"/>
                <w14:ligatures w14:val="none"/>
              </w:rPr>
              <w:t>管理</w:t>
            </w:r>
          </w:p>
        </w:tc>
        <w:tc>
          <w:tcPr>
            <w:tcW w:w="765" w:type="pct"/>
            <w:noWrap w:val="0"/>
            <w:vAlign w:val="center"/>
          </w:tcPr>
          <w:p w14:paraId="5820E2D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乡镇卫生院</w:t>
            </w:r>
          </w:p>
        </w:tc>
        <w:tc>
          <w:tcPr>
            <w:tcW w:w="1369" w:type="pct"/>
            <w:noWrap w:val="0"/>
            <w:vAlign w:val="center"/>
          </w:tcPr>
          <w:p w14:paraId="6DB7CB9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1420-2860</w:t>
            </w:r>
          </w:p>
          <w:p w14:paraId="570BBF3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（用地面积）</w:t>
            </w:r>
          </w:p>
        </w:tc>
        <w:tc>
          <w:tcPr>
            <w:tcW w:w="744" w:type="pct"/>
            <w:noWrap w:val="0"/>
            <w:vAlign w:val="center"/>
          </w:tcPr>
          <w:p w14:paraId="248F391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1000</w:t>
            </w:r>
          </w:p>
        </w:tc>
        <w:tc>
          <w:tcPr>
            <w:tcW w:w="1071" w:type="pct"/>
            <w:noWrap w:val="0"/>
            <w:vAlign w:val="center"/>
          </w:tcPr>
          <w:p w14:paraId="7283388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规划人口5万以上的乡</w:t>
            </w:r>
            <w:r>
              <w:rPr>
                <w:rFonts w:hint="default" w:ascii="Times New Roman" w:hAnsi="Times New Roman" w:eastAsia="仿宋_GB2312" w:cs="Times New Roman"/>
                <w:kern w:val="2"/>
                <w:sz w:val="24"/>
                <w:szCs w:val="24"/>
                <w:highlight w:val="none"/>
                <w:lang w:val="en-US" w:eastAsia="zh-CN" w:bidi="ar-SA"/>
                <w14:ligatures w14:val="none"/>
              </w:rPr>
              <w:t>/</w:t>
            </w:r>
            <w:r>
              <w:rPr>
                <w:rFonts w:hint="eastAsia" w:ascii="Times New Roman" w:hAnsi="Times New Roman" w:eastAsia="仿宋_GB2312" w:cs="Times New Roman"/>
                <w:kern w:val="2"/>
                <w:sz w:val="24"/>
                <w:szCs w:val="24"/>
                <w:highlight w:val="none"/>
                <w:lang w:val="en-US" w:eastAsia="zh-CN" w:bidi="ar-SA"/>
                <w14:ligatures w14:val="none"/>
              </w:rPr>
              <w:t>集镇宜设置</w:t>
            </w:r>
          </w:p>
        </w:tc>
        <w:tc>
          <w:tcPr>
            <w:tcW w:w="583" w:type="pct"/>
            <w:noWrap w:val="0"/>
            <w:vAlign w:val="center"/>
          </w:tcPr>
          <w:p w14:paraId="5766E70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宜独立</w:t>
            </w:r>
          </w:p>
          <w:p w14:paraId="4D0BEA6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占地</w:t>
            </w:r>
          </w:p>
        </w:tc>
      </w:tr>
      <w:tr w14:paraId="4F9F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464" w:type="pct"/>
            <w:vMerge w:val="continue"/>
            <w:noWrap w:val="0"/>
            <w:vAlign w:val="center"/>
          </w:tcPr>
          <w:p w14:paraId="22B316E9">
            <w:pPr>
              <w:keepNext w:val="0"/>
              <w:keepLines w:val="0"/>
              <w:pageBreakBefore w:val="0"/>
              <w:widowControl/>
              <w:suppressLineNumbers w:val="0"/>
              <w:kinsoku/>
              <w:wordWrap/>
              <w:overflowPunct/>
              <w:topLinePunct w:val="0"/>
              <w:autoSpaceDE w:val="0"/>
              <w:autoSpaceDN w:val="0"/>
              <w:bidi w:val="0"/>
              <w:adjustRightInd w:val="0"/>
              <w:snapToGrid w:val="0"/>
              <w:spacing w:line="600" w:lineRule="exact"/>
              <w:ind w:firstLine="0" w:firstLineChars="0"/>
              <w:jc w:val="center"/>
              <w:textAlignment w:val="baseline"/>
              <w:rPr>
                <w:rFonts w:hint="eastAsia" w:ascii="仿宋" w:hAnsi="仿宋" w:eastAsia="仿宋" w:cs="仿宋"/>
                <w:snapToGrid w:val="0"/>
                <w:color w:val="000000"/>
                <w:spacing w:val="-4"/>
                <w:kern w:val="0"/>
                <w:sz w:val="24"/>
                <w:szCs w:val="24"/>
                <w:highlight w:val="none"/>
                <w:lang w:val="en-US" w:eastAsia="zh-CN" w:bidi="ar-SA"/>
              </w:rPr>
            </w:pPr>
          </w:p>
        </w:tc>
        <w:tc>
          <w:tcPr>
            <w:tcW w:w="765" w:type="pct"/>
            <w:noWrap w:val="0"/>
            <w:vAlign w:val="center"/>
          </w:tcPr>
          <w:p w14:paraId="286306B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卫生服务站</w:t>
            </w:r>
          </w:p>
        </w:tc>
        <w:tc>
          <w:tcPr>
            <w:tcW w:w="1369" w:type="pct"/>
            <w:noWrap w:val="0"/>
            <w:vAlign w:val="center"/>
          </w:tcPr>
          <w:p w14:paraId="36B3875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100-200</w:t>
            </w:r>
          </w:p>
          <w:p w14:paraId="41D40CE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（建筑面积）</w:t>
            </w:r>
          </w:p>
        </w:tc>
        <w:tc>
          <w:tcPr>
            <w:tcW w:w="744" w:type="pct"/>
            <w:noWrap w:val="0"/>
            <w:vAlign w:val="center"/>
          </w:tcPr>
          <w:p w14:paraId="588EF3F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1071" w:type="pct"/>
            <w:noWrap w:val="0"/>
            <w:vAlign w:val="center"/>
          </w:tcPr>
          <w:p w14:paraId="33766AC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各乡/集镇至少设一处</w:t>
            </w:r>
          </w:p>
        </w:tc>
        <w:tc>
          <w:tcPr>
            <w:tcW w:w="583" w:type="pct"/>
            <w:noWrap w:val="0"/>
            <w:vAlign w:val="center"/>
          </w:tcPr>
          <w:p w14:paraId="11C3D89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宜综合</w:t>
            </w:r>
          </w:p>
          <w:p w14:paraId="07BA601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设置</w:t>
            </w:r>
          </w:p>
        </w:tc>
      </w:tr>
      <w:tr w14:paraId="5898B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464" w:type="pct"/>
            <w:vMerge w:val="restart"/>
            <w:tcBorders>
              <w:left w:val="single" w:color="auto" w:sz="4" w:space="0"/>
              <w:bottom w:val="single" w:color="auto" w:sz="4" w:space="0"/>
            </w:tcBorders>
            <w:noWrap w:val="0"/>
            <w:vAlign w:val="bottom"/>
          </w:tcPr>
          <w:p w14:paraId="509A2D9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为老</w:t>
            </w:r>
          </w:p>
          <w:p w14:paraId="72525D9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服务</w:t>
            </w:r>
          </w:p>
          <w:p w14:paraId="0346C0E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p>
          <w:p w14:paraId="194359D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p>
        </w:tc>
        <w:tc>
          <w:tcPr>
            <w:tcW w:w="765" w:type="pct"/>
            <w:tcBorders>
              <w:bottom w:val="single" w:color="auto" w:sz="4" w:space="0"/>
            </w:tcBorders>
            <w:noWrap w:val="0"/>
            <w:vAlign w:val="center"/>
          </w:tcPr>
          <w:p w14:paraId="2A28F94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老年活动室</w:t>
            </w:r>
          </w:p>
        </w:tc>
        <w:tc>
          <w:tcPr>
            <w:tcW w:w="1369" w:type="pct"/>
            <w:tcBorders>
              <w:bottom w:val="single" w:color="auto" w:sz="4" w:space="0"/>
            </w:tcBorders>
            <w:noWrap w:val="0"/>
            <w:vAlign w:val="center"/>
          </w:tcPr>
          <w:p w14:paraId="33F9E93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200</w:t>
            </w:r>
          </w:p>
          <w:p w14:paraId="7E3E8B8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（建筑面积）</w:t>
            </w:r>
          </w:p>
        </w:tc>
        <w:tc>
          <w:tcPr>
            <w:tcW w:w="744" w:type="pct"/>
            <w:tcBorders>
              <w:bottom w:val="single" w:color="auto" w:sz="4" w:space="0"/>
            </w:tcBorders>
            <w:noWrap w:val="0"/>
            <w:vAlign w:val="center"/>
          </w:tcPr>
          <w:p w14:paraId="48A6F4E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1071" w:type="pct"/>
            <w:tcBorders>
              <w:bottom w:val="single" w:color="auto" w:sz="4" w:space="0"/>
            </w:tcBorders>
            <w:noWrap w:val="0"/>
            <w:vAlign w:val="center"/>
          </w:tcPr>
          <w:p w14:paraId="515DF94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583" w:type="pct"/>
            <w:vMerge w:val="restart"/>
            <w:tcBorders>
              <w:bottom w:val="single" w:color="auto" w:sz="4" w:space="0"/>
              <w:right w:val="single" w:color="auto" w:sz="4" w:space="0"/>
            </w:tcBorders>
            <w:noWrap w:val="0"/>
            <w:vAlign w:val="center"/>
          </w:tcPr>
          <w:p w14:paraId="7DECB35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宜综合</w:t>
            </w:r>
          </w:p>
          <w:p w14:paraId="6DBB815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设置</w:t>
            </w:r>
          </w:p>
        </w:tc>
      </w:tr>
      <w:tr w14:paraId="730A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464" w:type="pct"/>
            <w:vMerge w:val="continue"/>
            <w:tcBorders>
              <w:top w:val="single" w:color="auto" w:sz="4" w:space="0"/>
              <w:left w:val="single" w:color="auto" w:sz="4" w:space="0"/>
            </w:tcBorders>
            <w:noWrap w:val="0"/>
            <w:vAlign w:val="center"/>
          </w:tcPr>
          <w:p w14:paraId="1D2EB29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p>
        </w:tc>
        <w:tc>
          <w:tcPr>
            <w:tcW w:w="765" w:type="pct"/>
            <w:tcBorders>
              <w:top w:val="single" w:color="auto" w:sz="4" w:space="0"/>
            </w:tcBorders>
            <w:noWrap w:val="0"/>
            <w:vAlign w:val="center"/>
          </w:tcPr>
          <w:p w14:paraId="47D8C0D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老年人日间照料中心</w:t>
            </w:r>
          </w:p>
        </w:tc>
        <w:tc>
          <w:tcPr>
            <w:tcW w:w="1369" w:type="pct"/>
            <w:tcBorders>
              <w:top w:val="single" w:color="auto" w:sz="4" w:space="0"/>
            </w:tcBorders>
            <w:noWrap w:val="0"/>
            <w:vAlign w:val="center"/>
          </w:tcPr>
          <w:p w14:paraId="267B1F9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300</w:t>
            </w:r>
          </w:p>
          <w:p w14:paraId="6737A44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（建筑面积）</w:t>
            </w:r>
          </w:p>
        </w:tc>
        <w:tc>
          <w:tcPr>
            <w:tcW w:w="744" w:type="pct"/>
            <w:tcBorders>
              <w:top w:val="single" w:color="auto" w:sz="4" w:space="0"/>
            </w:tcBorders>
            <w:noWrap w:val="0"/>
            <w:vAlign w:val="center"/>
          </w:tcPr>
          <w:p w14:paraId="27FB20C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500-1000</w:t>
            </w:r>
          </w:p>
        </w:tc>
        <w:tc>
          <w:tcPr>
            <w:tcW w:w="1071" w:type="pct"/>
            <w:tcBorders>
              <w:top w:val="single" w:color="auto" w:sz="4" w:space="0"/>
            </w:tcBorders>
            <w:noWrap w:val="0"/>
            <w:vAlign w:val="center"/>
          </w:tcPr>
          <w:p w14:paraId="1148E61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583" w:type="pct"/>
            <w:vMerge w:val="continue"/>
            <w:tcBorders>
              <w:top w:val="single" w:color="auto" w:sz="4" w:space="0"/>
              <w:right w:val="single" w:color="auto" w:sz="4" w:space="0"/>
            </w:tcBorders>
            <w:noWrap w:val="0"/>
            <w:vAlign w:val="center"/>
          </w:tcPr>
          <w:p w14:paraId="2CCF425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p>
        </w:tc>
      </w:tr>
    </w:tbl>
    <w:p w14:paraId="3AB5F429">
      <w:pPr>
        <w:keepNext w:val="0"/>
        <w:keepLines w:val="0"/>
        <w:pageBreakBefore w:val="0"/>
        <w:widowControl/>
        <w:suppressLineNumbers w:val="0"/>
        <w:kinsoku/>
        <w:wordWrap/>
        <w:overflowPunct/>
        <w:topLinePunct w:val="0"/>
        <w:autoSpaceDE w:val="0"/>
        <w:autoSpaceDN w:val="0"/>
        <w:bidi w:val="0"/>
        <w:adjustRightInd w:val="0"/>
        <w:snapToGrid w:val="0"/>
        <w:spacing w:line="600" w:lineRule="exact"/>
        <w:ind w:firstLine="0" w:firstLineChars="0"/>
        <w:jc w:val="center"/>
        <w:textAlignment w:val="baseline"/>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4、村</w:t>
      </w:r>
      <w:r>
        <w:rPr>
          <w:rFonts w:hint="default" w:ascii="Times New Roman" w:hAnsi="Times New Roman" w:eastAsia="仿宋_GB2312" w:cs="Times New Roman"/>
          <w:kern w:val="2"/>
          <w:sz w:val="32"/>
          <w:szCs w:val="22"/>
          <w:highlight w:val="none"/>
          <w:lang w:val="en-US" w:eastAsia="zh-CN" w:bidi="ar-SA"/>
          <w14:ligatures w14:val="none"/>
        </w:rPr>
        <w:t>/</w:t>
      </w:r>
      <w:r>
        <w:rPr>
          <w:rFonts w:hint="eastAsia" w:ascii="Times New Roman" w:hAnsi="Times New Roman" w:eastAsia="仿宋_GB2312" w:cs="Times New Roman"/>
          <w:kern w:val="2"/>
          <w:sz w:val="32"/>
          <w:szCs w:val="22"/>
          <w:highlight w:val="none"/>
          <w:lang w:val="en-US" w:eastAsia="zh-CN" w:bidi="ar-SA"/>
          <w14:ligatures w14:val="none"/>
        </w:rPr>
        <w:t>组层级社区生活圈公服设施配置标准</w:t>
      </w:r>
    </w:p>
    <w:tbl>
      <w:tblPr>
        <w:tblStyle w:val="18"/>
        <w:tblW w:w="47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226"/>
        <w:gridCol w:w="2193"/>
        <w:gridCol w:w="1192"/>
        <w:gridCol w:w="1716"/>
        <w:gridCol w:w="934"/>
      </w:tblGrid>
      <w:tr w14:paraId="2855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5000" w:type="pct"/>
            <w:gridSpan w:val="6"/>
            <w:noWrap w:val="0"/>
            <w:vAlign w:val="center"/>
          </w:tcPr>
          <w:p w14:paraId="2CB6F8EC">
            <w:pPr>
              <w:keepNext w:val="0"/>
              <w:keepLines w:val="0"/>
              <w:pageBreakBefore w:val="0"/>
              <w:widowControl/>
              <w:suppressLineNumbers w:val="0"/>
              <w:kinsoku/>
              <w:wordWrap/>
              <w:overflowPunct/>
              <w:topLinePunct w:val="0"/>
              <w:bidi w:val="0"/>
              <w:spacing w:line="600" w:lineRule="exact"/>
              <w:jc w:val="center"/>
              <w:rPr>
                <w:rFonts w:hint="eastAsia" w:ascii="仿宋" w:hAnsi="仿宋" w:eastAsia="仿宋" w:cs="仿宋"/>
                <w:snapToGrid w:val="0"/>
                <w:color w:val="000000"/>
                <w:spacing w:val="8"/>
                <w:kern w:val="0"/>
                <w:sz w:val="31"/>
                <w:szCs w:val="31"/>
                <w:highlight w:val="none"/>
                <w:vertAlign w:val="baseline"/>
                <w:lang w:val="en-US" w:eastAsia="zh-CN" w:bidi="ar-SA"/>
              </w:rPr>
            </w:pPr>
            <w:r>
              <w:rPr>
                <w:rFonts w:ascii="黑体" w:hAnsi="黑体" w:eastAsia="黑体" w:cs="黑体"/>
                <w:spacing w:val="-3"/>
                <w:sz w:val="30"/>
                <w:szCs w:val="30"/>
                <w:highlight w:val="none"/>
                <w:lang w:val="en-US" w:eastAsia="zh-CN"/>
              </w:rPr>
              <w:t xml:space="preserve">专栏 </w:t>
            </w:r>
            <w:r>
              <w:rPr>
                <w:rFonts w:hint="eastAsia" w:ascii="黑体" w:hAnsi="黑体" w:eastAsia="黑体" w:cs="黑体"/>
                <w:spacing w:val="-3"/>
                <w:sz w:val="30"/>
                <w:szCs w:val="30"/>
                <w:highlight w:val="none"/>
                <w:lang w:val="en-US" w:eastAsia="zh-CN"/>
              </w:rPr>
              <w:t>3</w:t>
            </w:r>
            <w:r>
              <w:rPr>
                <w:rFonts w:ascii="黑体" w:hAnsi="黑体" w:eastAsia="黑体" w:cs="黑体"/>
                <w:spacing w:val="-3"/>
                <w:sz w:val="30"/>
                <w:szCs w:val="30"/>
                <w:highlight w:val="none"/>
                <w:lang w:val="en-US" w:eastAsia="zh-CN"/>
              </w:rPr>
              <w:t xml:space="preserve"> </w:t>
            </w:r>
            <w:r>
              <w:rPr>
                <w:rFonts w:hint="eastAsia" w:ascii="黑体" w:hAnsi="黑体" w:eastAsia="黑体" w:cs="黑体"/>
                <w:spacing w:val="-3"/>
                <w:sz w:val="30"/>
                <w:szCs w:val="30"/>
                <w:highlight w:val="none"/>
                <w:lang w:val="en-US" w:eastAsia="zh-CN"/>
              </w:rPr>
              <w:t>村/组</w:t>
            </w:r>
            <w:r>
              <w:rPr>
                <w:rFonts w:ascii="黑体" w:hAnsi="黑体" w:eastAsia="黑体" w:cs="黑体"/>
                <w:spacing w:val="-3"/>
                <w:sz w:val="30"/>
                <w:szCs w:val="30"/>
                <w:highlight w:val="none"/>
                <w:lang w:val="en-US" w:eastAsia="zh-CN"/>
              </w:rPr>
              <w:t>社区生活圈配置要求</w:t>
            </w:r>
          </w:p>
        </w:tc>
      </w:tr>
      <w:tr w14:paraId="4415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464" w:type="pct"/>
            <w:noWrap w:val="0"/>
            <w:vAlign w:val="center"/>
          </w:tcPr>
          <w:p w14:paraId="2DB8896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要素</w:t>
            </w:r>
          </w:p>
          <w:p w14:paraId="4218633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分项</w:t>
            </w:r>
          </w:p>
        </w:tc>
        <w:tc>
          <w:tcPr>
            <w:tcW w:w="765" w:type="pct"/>
            <w:noWrap w:val="0"/>
            <w:vAlign w:val="center"/>
          </w:tcPr>
          <w:p w14:paraId="37E4C59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要素</w:t>
            </w:r>
          </w:p>
          <w:p w14:paraId="665012F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名称</w:t>
            </w:r>
          </w:p>
        </w:tc>
        <w:tc>
          <w:tcPr>
            <w:tcW w:w="1369" w:type="pct"/>
            <w:noWrap w:val="0"/>
            <w:vAlign w:val="center"/>
          </w:tcPr>
          <w:p w14:paraId="6BB3A79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规模性指标（建筑面积/用地面积）</w:t>
            </w:r>
          </w:p>
        </w:tc>
        <w:tc>
          <w:tcPr>
            <w:tcW w:w="744" w:type="pct"/>
            <w:noWrap w:val="0"/>
            <w:vAlign w:val="center"/>
          </w:tcPr>
          <w:p w14:paraId="73B12B0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服务半径（米）</w:t>
            </w:r>
          </w:p>
        </w:tc>
        <w:tc>
          <w:tcPr>
            <w:tcW w:w="1071" w:type="pct"/>
            <w:noWrap w:val="0"/>
            <w:vAlign w:val="center"/>
          </w:tcPr>
          <w:p w14:paraId="486BBBE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配置要求</w:t>
            </w:r>
          </w:p>
        </w:tc>
        <w:tc>
          <w:tcPr>
            <w:tcW w:w="583" w:type="pct"/>
            <w:noWrap w:val="0"/>
            <w:vAlign w:val="center"/>
          </w:tcPr>
          <w:p w14:paraId="4FAD587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效率性</w:t>
            </w:r>
          </w:p>
          <w:p w14:paraId="74234BD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指标</w:t>
            </w:r>
          </w:p>
        </w:tc>
      </w:tr>
      <w:tr w14:paraId="527B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464" w:type="pct"/>
            <w:noWrap w:val="0"/>
            <w:vAlign w:val="center"/>
          </w:tcPr>
          <w:p w14:paraId="75DB73F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文化</w:t>
            </w:r>
          </w:p>
          <w:p w14:paraId="248D2E3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活动</w:t>
            </w:r>
          </w:p>
        </w:tc>
        <w:tc>
          <w:tcPr>
            <w:tcW w:w="765" w:type="pct"/>
            <w:noWrap w:val="0"/>
            <w:vAlign w:val="center"/>
          </w:tcPr>
          <w:p w14:paraId="2DDE4A2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文化活动室</w:t>
            </w:r>
          </w:p>
        </w:tc>
        <w:tc>
          <w:tcPr>
            <w:tcW w:w="1369" w:type="pct"/>
            <w:noWrap w:val="0"/>
            <w:vAlign w:val="center"/>
          </w:tcPr>
          <w:p w14:paraId="5916389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 xml:space="preserve">200 </w:t>
            </w:r>
          </w:p>
          <w:p w14:paraId="42245C1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（建筑面积）</w:t>
            </w:r>
          </w:p>
        </w:tc>
        <w:tc>
          <w:tcPr>
            <w:tcW w:w="744" w:type="pct"/>
            <w:noWrap w:val="0"/>
            <w:vAlign w:val="center"/>
          </w:tcPr>
          <w:p w14:paraId="5B5E9C8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1071" w:type="pct"/>
            <w:noWrap w:val="0"/>
            <w:vAlign w:val="center"/>
          </w:tcPr>
          <w:p w14:paraId="7F6AB9B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各行政村至少设一处</w:t>
            </w:r>
          </w:p>
        </w:tc>
        <w:tc>
          <w:tcPr>
            <w:tcW w:w="583" w:type="pct"/>
            <w:noWrap w:val="0"/>
            <w:vAlign w:val="center"/>
          </w:tcPr>
          <w:p w14:paraId="1030234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宜综合</w:t>
            </w:r>
          </w:p>
          <w:p w14:paraId="67DEFBE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设置</w:t>
            </w:r>
          </w:p>
        </w:tc>
      </w:tr>
      <w:tr w14:paraId="67EB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464" w:type="pct"/>
            <w:noWrap w:val="0"/>
            <w:vAlign w:val="center"/>
          </w:tcPr>
          <w:p w14:paraId="56D9AE6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体育</w:t>
            </w:r>
          </w:p>
          <w:p w14:paraId="6E2555C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健身</w:t>
            </w:r>
          </w:p>
        </w:tc>
        <w:tc>
          <w:tcPr>
            <w:tcW w:w="765" w:type="pct"/>
            <w:noWrap w:val="0"/>
            <w:vAlign w:val="center"/>
          </w:tcPr>
          <w:p w14:paraId="2EC4B4C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健身广场</w:t>
            </w:r>
          </w:p>
        </w:tc>
        <w:tc>
          <w:tcPr>
            <w:tcW w:w="1369" w:type="pct"/>
            <w:noWrap w:val="0"/>
            <w:vAlign w:val="center"/>
          </w:tcPr>
          <w:p w14:paraId="334D355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400</w:t>
            </w:r>
          </w:p>
          <w:p w14:paraId="1520B16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（用地面积）</w:t>
            </w:r>
          </w:p>
        </w:tc>
        <w:tc>
          <w:tcPr>
            <w:tcW w:w="744" w:type="pct"/>
            <w:noWrap w:val="0"/>
            <w:vAlign w:val="center"/>
          </w:tcPr>
          <w:p w14:paraId="227416A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300</w:t>
            </w:r>
          </w:p>
        </w:tc>
        <w:tc>
          <w:tcPr>
            <w:tcW w:w="1071" w:type="pct"/>
            <w:noWrap w:val="0"/>
            <w:vAlign w:val="center"/>
          </w:tcPr>
          <w:p w14:paraId="6B33DA2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583" w:type="pct"/>
            <w:noWrap w:val="0"/>
            <w:vAlign w:val="center"/>
          </w:tcPr>
          <w:p w14:paraId="2A8A663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宜综合</w:t>
            </w:r>
          </w:p>
          <w:p w14:paraId="06E7818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设置</w:t>
            </w:r>
          </w:p>
        </w:tc>
      </w:tr>
      <w:tr w14:paraId="0352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464" w:type="pct"/>
            <w:noWrap w:val="0"/>
            <w:vAlign w:val="center"/>
          </w:tcPr>
          <w:p w14:paraId="58F7B07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健康</w:t>
            </w:r>
          </w:p>
          <w:p w14:paraId="73BEBCE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管理</w:t>
            </w:r>
          </w:p>
        </w:tc>
        <w:tc>
          <w:tcPr>
            <w:tcW w:w="765" w:type="pct"/>
            <w:noWrap w:val="0"/>
            <w:vAlign w:val="center"/>
          </w:tcPr>
          <w:p w14:paraId="0177D2F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村卫生室</w:t>
            </w:r>
          </w:p>
        </w:tc>
        <w:tc>
          <w:tcPr>
            <w:tcW w:w="1369" w:type="pct"/>
            <w:noWrap w:val="0"/>
            <w:vAlign w:val="center"/>
          </w:tcPr>
          <w:p w14:paraId="1C502A2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100-200</w:t>
            </w:r>
          </w:p>
          <w:p w14:paraId="6F6EACA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（用地面积）</w:t>
            </w:r>
          </w:p>
        </w:tc>
        <w:tc>
          <w:tcPr>
            <w:tcW w:w="744" w:type="pct"/>
            <w:noWrap w:val="0"/>
            <w:vAlign w:val="center"/>
          </w:tcPr>
          <w:p w14:paraId="1A7CAC4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1071" w:type="pct"/>
            <w:noWrap w:val="0"/>
            <w:vAlign w:val="center"/>
          </w:tcPr>
          <w:p w14:paraId="005285C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各行政村设一处</w:t>
            </w:r>
          </w:p>
        </w:tc>
        <w:tc>
          <w:tcPr>
            <w:tcW w:w="583" w:type="pct"/>
            <w:noWrap w:val="0"/>
            <w:vAlign w:val="center"/>
          </w:tcPr>
          <w:p w14:paraId="7185C23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宜综合</w:t>
            </w:r>
          </w:p>
          <w:p w14:paraId="5781B53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设置</w:t>
            </w:r>
          </w:p>
        </w:tc>
      </w:tr>
      <w:tr w14:paraId="3151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464" w:type="pct"/>
            <w:vMerge w:val="restart"/>
            <w:tcBorders>
              <w:left w:val="single" w:color="auto" w:sz="4" w:space="0"/>
            </w:tcBorders>
            <w:noWrap w:val="0"/>
            <w:vAlign w:val="center"/>
          </w:tcPr>
          <w:p w14:paraId="2949E31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为老</w:t>
            </w:r>
          </w:p>
          <w:p w14:paraId="7F6A70A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服务</w:t>
            </w:r>
          </w:p>
          <w:p w14:paraId="32DD87B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p>
        </w:tc>
        <w:tc>
          <w:tcPr>
            <w:tcW w:w="765" w:type="pct"/>
            <w:noWrap w:val="0"/>
            <w:vAlign w:val="center"/>
          </w:tcPr>
          <w:p w14:paraId="739F17F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老年活动室</w:t>
            </w:r>
          </w:p>
        </w:tc>
        <w:tc>
          <w:tcPr>
            <w:tcW w:w="1369" w:type="pct"/>
            <w:noWrap w:val="0"/>
            <w:vAlign w:val="center"/>
          </w:tcPr>
          <w:p w14:paraId="57485A2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200</w:t>
            </w:r>
          </w:p>
          <w:p w14:paraId="5825308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（建筑面积）</w:t>
            </w:r>
          </w:p>
        </w:tc>
        <w:tc>
          <w:tcPr>
            <w:tcW w:w="744" w:type="pct"/>
            <w:noWrap w:val="0"/>
            <w:vAlign w:val="center"/>
          </w:tcPr>
          <w:p w14:paraId="56F3871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w:t>
            </w:r>
          </w:p>
        </w:tc>
        <w:tc>
          <w:tcPr>
            <w:tcW w:w="1071" w:type="pct"/>
            <w:noWrap w:val="0"/>
            <w:vAlign w:val="center"/>
          </w:tcPr>
          <w:p w14:paraId="1D9CFC1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各行政村设一处</w:t>
            </w:r>
          </w:p>
        </w:tc>
        <w:tc>
          <w:tcPr>
            <w:tcW w:w="583" w:type="pct"/>
            <w:vMerge w:val="restart"/>
            <w:tcBorders>
              <w:right w:val="single" w:color="auto" w:sz="4" w:space="0"/>
            </w:tcBorders>
            <w:noWrap w:val="0"/>
            <w:vAlign w:val="center"/>
          </w:tcPr>
          <w:p w14:paraId="396F961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en-US"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宜综合</w:t>
            </w:r>
          </w:p>
          <w:p w14:paraId="05C6BBF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设置</w:t>
            </w:r>
          </w:p>
        </w:tc>
      </w:tr>
      <w:tr w14:paraId="6F70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464" w:type="pct"/>
            <w:vMerge w:val="continue"/>
            <w:tcBorders>
              <w:left w:val="single" w:color="auto" w:sz="4" w:space="0"/>
            </w:tcBorders>
            <w:noWrap w:val="0"/>
            <w:vAlign w:val="center"/>
          </w:tcPr>
          <w:p w14:paraId="04B63A1B">
            <w:pPr>
              <w:keepNext w:val="0"/>
              <w:keepLines w:val="0"/>
              <w:pageBreakBefore w:val="0"/>
              <w:widowControl/>
              <w:suppressLineNumbers w:val="0"/>
              <w:kinsoku/>
              <w:wordWrap/>
              <w:overflowPunct/>
              <w:topLinePunct w:val="0"/>
              <w:autoSpaceDE w:val="0"/>
              <w:autoSpaceDN w:val="0"/>
              <w:bidi w:val="0"/>
              <w:adjustRightInd w:val="0"/>
              <w:snapToGrid w:val="0"/>
              <w:spacing w:line="600" w:lineRule="exact"/>
              <w:ind w:firstLine="0" w:firstLineChars="0"/>
              <w:jc w:val="center"/>
              <w:textAlignment w:val="baseline"/>
              <w:rPr>
                <w:rFonts w:hint="eastAsia" w:ascii="仿宋" w:hAnsi="仿宋" w:eastAsia="仿宋" w:cs="仿宋"/>
                <w:snapToGrid w:val="0"/>
                <w:color w:val="000000"/>
                <w:spacing w:val="-4"/>
                <w:kern w:val="0"/>
                <w:sz w:val="24"/>
                <w:szCs w:val="24"/>
                <w:highlight w:val="none"/>
                <w:lang w:val="en-US" w:eastAsia="zh-CN" w:bidi="ar-SA"/>
              </w:rPr>
            </w:pPr>
          </w:p>
        </w:tc>
        <w:tc>
          <w:tcPr>
            <w:tcW w:w="765" w:type="pct"/>
            <w:noWrap w:val="0"/>
            <w:vAlign w:val="center"/>
          </w:tcPr>
          <w:p w14:paraId="4B76BA8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老年人日</w:t>
            </w:r>
          </w:p>
          <w:p w14:paraId="51C0B8B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间照料中</w:t>
            </w:r>
          </w:p>
          <w:p w14:paraId="567D3CF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心</w:t>
            </w:r>
          </w:p>
        </w:tc>
        <w:tc>
          <w:tcPr>
            <w:tcW w:w="1369" w:type="pct"/>
            <w:noWrap w:val="0"/>
            <w:vAlign w:val="center"/>
          </w:tcPr>
          <w:p w14:paraId="45B8E52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300</w:t>
            </w:r>
          </w:p>
          <w:p w14:paraId="309E69B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（建筑面积）</w:t>
            </w:r>
          </w:p>
        </w:tc>
        <w:tc>
          <w:tcPr>
            <w:tcW w:w="744" w:type="pct"/>
            <w:noWrap w:val="0"/>
            <w:vAlign w:val="center"/>
          </w:tcPr>
          <w:p w14:paraId="1CEE9A63">
            <w:pPr>
              <w:keepNext w:val="0"/>
              <w:keepLines w:val="0"/>
              <w:pageBreakBefore w:val="0"/>
              <w:widowControl/>
              <w:suppressLineNumbers w:val="0"/>
              <w:kinsoku/>
              <w:wordWrap/>
              <w:overflowPunct/>
              <w:topLinePunct w:val="0"/>
              <w:autoSpaceDE w:val="0"/>
              <w:autoSpaceDN w:val="0"/>
              <w:bidi w:val="0"/>
              <w:adjustRightInd w:val="0"/>
              <w:snapToGrid w:val="0"/>
              <w:spacing w:line="600" w:lineRule="exact"/>
              <w:ind w:firstLine="0" w:firstLineChars="0"/>
              <w:jc w:val="center"/>
              <w:textAlignment w:val="baseline"/>
              <w:rPr>
                <w:rFonts w:hint="default" w:ascii="仿宋" w:hAnsi="仿宋" w:eastAsia="仿宋" w:cs="仿宋"/>
                <w:snapToGrid w:val="0"/>
                <w:color w:val="000000"/>
                <w:spacing w:val="-4"/>
                <w:kern w:val="0"/>
                <w:sz w:val="24"/>
                <w:szCs w:val="24"/>
                <w:highlight w:val="none"/>
                <w:lang w:val="en-US" w:eastAsia="zh-CN" w:bidi="ar-SA"/>
              </w:rPr>
            </w:pPr>
            <w:r>
              <w:rPr>
                <w:rFonts w:hint="eastAsia" w:ascii="仿宋" w:hAnsi="仿宋" w:eastAsia="仿宋" w:cs="仿宋"/>
                <w:snapToGrid w:val="0"/>
                <w:color w:val="000000"/>
                <w:spacing w:val="-4"/>
                <w:kern w:val="0"/>
                <w:sz w:val="24"/>
                <w:szCs w:val="24"/>
                <w:highlight w:val="none"/>
                <w:lang w:val="en-US" w:eastAsia="zh-CN" w:bidi="ar-SA"/>
              </w:rPr>
              <w:t>-</w:t>
            </w:r>
          </w:p>
        </w:tc>
        <w:tc>
          <w:tcPr>
            <w:tcW w:w="1071" w:type="pct"/>
            <w:noWrap w:val="0"/>
            <w:vAlign w:val="center"/>
          </w:tcPr>
          <w:p w14:paraId="122445B7">
            <w:pPr>
              <w:keepNext w:val="0"/>
              <w:keepLines w:val="0"/>
              <w:pageBreakBefore w:val="0"/>
              <w:widowControl/>
              <w:suppressLineNumbers w:val="0"/>
              <w:kinsoku/>
              <w:wordWrap/>
              <w:overflowPunct/>
              <w:topLinePunct w:val="0"/>
              <w:autoSpaceDE w:val="0"/>
              <w:autoSpaceDN w:val="0"/>
              <w:bidi w:val="0"/>
              <w:adjustRightInd w:val="0"/>
              <w:snapToGrid w:val="0"/>
              <w:spacing w:line="600" w:lineRule="exact"/>
              <w:ind w:firstLine="0" w:firstLineChars="0"/>
              <w:jc w:val="center"/>
              <w:textAlignment w:val="baseline"/>
              <w:rPr>
                <w:rFonts w:hint="default" w:ascii="仿宋" w:hAnsi="仿宋" w:eastAsia="仿宋" w:cs="仿宋"/>
                <w:snapToGrid w:val="0"/>
                <w:color w:val="000000"/>
                <w:spacing w:val="-4"/>
                <w:kern w:val="0"/>
                <w:sz w:val="24"/>
                <w:szCs w:val="24"/>
                <w:highlight w:val="none"/>
                <w:lang w:val="en-US" w:eastAsia="zh-CN" w:bidi="ar-SA"/>
              </w:rPr>
            </w:pPr>
            <w:r>
              <w:rPr>
                <w:rFonts w:hint="eastAsia" w:ascii="仿宋" w:hAnsi="仿宋" w:eastAsia="仿宋" w:cs="仿宋"/>
                <w:snapToGrid w:val="0"/>
                <w:color w:val="000000"/>
                <w:spacing w:val="-4"/>
                <w:kern w:val="0"/>
                <w:sz w:val="24"/>
                <w:szCs w:val="24"/>
                <w:highlight w:val="none"/>
                <w:lang w:val="en-US" w:eastAsia="zh-CN" w:bidi="ar-SA"/>
              </w:rPr>
              <w:t>-</w:t>
            </w:r>
          </w:p>
        </w:tc>
        <w:tc>
          <w:tcPr>
            <w:tcW w:w="583" w:type="pct"/>
            <w:vMerge w:val="continue"/>
            <w:tcBorders>
              <w:right w:val="single" w:color="auto" w:sz="4" w:space="0"/>
            </w:tcBorders>
            <w:noWrap w:val="0"/>
            <w:vAlign w:val="center"/>
          </w:tcPr>
          <w:p w14:paraId="52F15C73">
            <w:pPr>
              <w:keepNext w:val="0"/>
              <w:keepLines w:val="0"/>
              <w:pageBreakBefore w:val="0"/>
              <w:widowControl/>
              <w:suppressLineNumbers w:val="0"/>
              <w:kinsoku/>
              <w:wordWrap/>
              <w:overflowPunct/>
              <w:topLinePunct w:val="0"/>
              <w:autoSpaceDE w:val="0"/>
              <w:autoSpaceDN w:val="0"/>
              <w:bidi w:val="0"/>
              <w:adjustRightInd w:val="0"/>
              <w:snapToGrid w:val="0"/>
              <w:spacing w:line="600" w:lineRule="exact"/>
              <w:ind w:firstLine="0" w:firstLineChars="0"/>
              <w:jc w:val="center"/>
              <w:textAlignment w:val="baseline"/>
              <w:rPr>
                <w:rFonts w:hint="eastAsia" w:ascii="仿宋" w:hAnsi="仿宋" w:eastAsia="仿宋" w:cs="仿宋"/>
                <w:snapToGrid w:val="0"/>
                <w:color w:val="000000"/>
                <w:spacing w:val="-4"/>
                <w:kern w:val="0"/>
                <w:sz w:val="24"/>
                <w:szCs w:val="24"/>
                <w:highlight w:val="none"/>
                <w:lang w:val="en-US" w:eastAsia="zh-CN" w:bidi="ar-SA"/>
              </w:rPr>
            </w:pPr>
          </w:p>
        </w:tc>
      </w:tr>
    </w:tbl>
    <w:p w14:paraId="3825314F">
      <w:pPr>
        <w:pStyle w:val="7"/>
        <w:pageBreakBefore w:val="0"/>
        <w:numPr>
          <w:ilvl w:val="0"/>
          <w:numId w:val="0"/>
        </w:numPr>
        <w:wordWrap/>
        <w:overflowPunct/>
        <w:bidi w:val="0"/>
        <w:spacing w:line="600" w:lineRule="exact"/>
        <w:rPr>
          <w:rFonts w:hint="eastAsia"/>
          <w:highlight w:val="none"/>
          <w:lang w:val="en-US" w:eastAsia="zh-CN"/>
        </w:rPr>
      </w:pPr>
    </w:p>
    <w:p w14:paraId="399CE2EC">
      <w:pPr>
        <w:keepNext w:val="0"/>
        <w:keepLines w:val="0"/>
        <w:pageBreakBefore w:val="0"/>
        <w:widowControl/>
        <w:kinsoku/>
        <w:wordWrap/>
        <w:overflowPunct/>
        <w:topLinePunct w:val="0"/>
        <w:autoSpaceDE/>
        <w:autoSpaceDN/>
        <w:bidi w:val="0"/>
        <w:adjustRightInd/>
        <w:snapToGrid/>
        <w:spacing w:line="360" w:lineRule="auto"/>
        <w:ind w:firstLine="562"/>
        <w:textAlignment w:val="auto"/>
        <w:outlineLvl w:val="9"/>
        <w:rPr>
          <w:rFonts w:hint="eastAsia" w:ascii="仿宋" w:hAnsi="仿宋" w:eastAsia="仿宋" w:cs="仿宋"/>
          <w:snapToGrid w:val="0"/>
          <w:color w:val="000000"/>
          <w:spacing w:val="-2"/>
          <w:kern w:val="0"/>
          <w:sz w:val="28"/>
          <w:szCs w:val="28"/>
          <w:highlight w:val="none"/>
          <w:lang w:val="en-US" w:eastAsia="zh-CN"/>
        </w:rPr>
      </w:pPr>
      <w:r>
        <w:rPr>
          <w:rFonts w:hint="eastAsia"/>
          <w:highlight w:val="none"/>
          <w:lang w:bidi="ar"/>
        </w:rPr>
        <w:br w:type="page"/>
      </w:r>
    </w:p>
    <w:p w14:paraId="2237E44F">
      <w:pPr>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CN"/>
        </w:rPr>
      </w:pPr>
      <w:bookmarkStart w:id="259" w:name="_Toc30212"/>
      <w:bookmarkStart w:id="260" w:name="_Toc1995"/>
      <w:bookmarkStart w:id="261" w:name="_Toc32426"/>
      <w:bookmarkStart w:id="262" w:name="_Toc139980945"/>
      <w:bookmarkStart w:id="263" w:name="_Toc7437"/>
      <w:bookmarkStart w:id="264" w:name="_Toc11111"/>
      <w:bookmarkStart w:id="265" w:name="_Toc2020483359"/>
      <w:bookmarkStart w:id="266" w:name="_Toc17033"/>
      <w:bookmarkStart w:id="267" w:name="_Toc6338"/>
      <w:bookmarkStart w:id="268" w:name="_Toc18003"/>
      <w:bookmarkStart w:id="269" w:name="_Toc18049"/>
      <w:bookmarkStart w:id="270" w:name="_Toc25444"/>
      <w:r>
        <w:rPr>
          <w:rFonts w:hint="eastAsia" w:ascii="方正小标宋_GBK" w:hAnsi="方正小标宋_GBK" w:eastAsia="方正小标宋_GBK" w:cs="方正小标宋_GBK"/>
          <w:b w:val="0"/>
          <w:bCs w:val="0"/>
          <w:snapToGrid w:val="0"/>
          <w:color w:val="000000"/>
          <w:spacing w:val="1"/>
          <w:kern w:val="0"/>
          <w:sz w:val="36"/>
          <w:szCs w:val="36"/>
          <w:highlight w:val="none"/>
          <w:lang w:val="en-US" w:eastAsia="zh-CN"/>
        </w:rPr>
        <w:t>第八章  强化规划传导和实施保障</w:t>
      </w:r>
      <w:bookmarkEnd w:id="259"/>
      <w:bookmarkEnd w:id="260"/>
      <w:bookmarkEnd w:id="261"/>
    </w:p>
    <w:p w14:paraId="0E707D67">
      <w:pPr>
        <w:pStyle w:val="3"/>
        <w:keepNext/>
        <w:keepLines/>
        <w:pageBreakBefore w:val="0"/>
        <w:widowControl w:val="0"/>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outlineLvl w:val="1"/>
        <w:rPr>
          <w:rFonts w:hint="default" w:ascii="黑体" w:hAnsi="黑体" w:eastAsia="黑体" w:cs="黑体"/>
          <w:b w:val="0"/>
          <w:bCs/>
          <w:kern w:val="2"/>
          <w:sz w:val="32"/>
          <w:szCs w:val="32"/>
          <w:highlight w:val="none"/>
          <w:lang w:val="en-US" w:eastAsia="zh-CN" w:bidi="ar"/>
        </w:rPr>
      </w:pPr>
      <w:bookmarkStart w:id="271" w:name="_Toc28887"/>
      <w:bookmarkStart w:id="272" w:name="_Toc17826"/>
      <w:r>
        <w:rPr>
          <w:rFonts w:hint="eastAsia" w:ascii="黑体" w:hAnsi="黑体" w:eastAsia="黑体" w:cs="黑体"/>
          <w:b w:val="0"/>
          <w:bCs/>
          <w:kern w:val="2"/>
          <w:sz w:val="32"/>
          <w:szCs w:val="32"/>
          <w:highlight w:val="none"/>
          <w:lang w:val="en-US" w:eastAsia="zh-CN" w:bidi="ar"/>
        </w:rPr>
        <w:t xml:space="preserve">第一节 </w:t>
      </w:r>
      <w:r>
        <w:rPr>
          <w:rFonts w:hint="eastAsia" w:ascii="黑体" w:hAnsi="黑体" w:cs="黑体"/>
          <w:b w:val="0"/>
          <w:bCs/>
          <w:kern w:val="2"/>
          <w:sz w:val="32"/>
          <w:szCs w:val="32"/>
          <w:highlight w:val="none"/>
          <w:lang w:val="en-US" w:eastAsia="zh-CN" w:bidi="ar"/>
        </w:rPr>
        <w:t xml:space="preserve"> </w:t>
      </w:r>
      <w:r>
        <w:rPr>
          <w:rFonts w:hint="eastAsia" w:ascii="黑体" w:hAnsi="黑体" w:eastAsia="黑体" w:cs="黑体"/>
          <w:b w:val="0"/>
          <w:bCs/>
          <w:kern w:val="2"/>
          <w:sz w:val="32"/>
          <w:szCs w:val="32"/>
          <w:highlight w:val="none"/>
          <w:lang w:val="en-US" w:eastAsia="zh-CN" w:bidi="ar"/>
        </w:rPr>
        <w:t>规划传导</w:t>
      </w:r>
      <w:bookmarkEnd w:id="271"/>
      <w:bookmarkEnd w:id="272"/>
      <w:r>
        <w:rPr>
          <w:rFonts w:hint="eastAsia" w:ascii="黑体" w:hAnsi="黑体" w:eastAsia="黑体" w:cs="黑体"/>
          <w:b w:val="0"/>
          <w:bCs/>
          <w:kern w:val="2"/>
          <w:sz w:val="32"/>
          <w:szCs w:val="32"/>
          <w:highlight w:val="none"/>
          <w:lang w:val="en-US" w:eastAsia="zh-CN" w:bidi="ar"/>
        </w:rPr>
        <w:t>与管控</w:t>
      </w:r>
    </w:p>
    <w:p w14:paraId="7C5AA74B">
      <w:pPr>
        <w:pStyle w:val="5"/>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65</w:t>
      </w:r>
      <w:r>
        <w:rPr>
          <w:rFonts w:hint="eastAsia" w:ascii="楷体" w:hAnsi="楷体" w:eastAsia="楷体" w:cs="楷体"/>
          <w:b w:val="0"/>
          <w:bCs w:val="0"/>
          <w:sz w:val="32"/>
          <w:szCs w:val="32"/>
          <w:highlight w:val="none"/>
        </w:rPr>
        <w:t xml:space="preserve">条 </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构建规划传导管控体系</w:t>
      </w:r>
    </w:p>
    <w:p w14:paraId="4CEAB1EF">
      <w:pPr>
        <w:keepNext w:val="0"/>
        <w:keepLines w:val="0"/>
        <w:pageBreakBefore w:val="0"/>
        <w:widowControl w:val="0"/>
        <w:kinsoku/>
        <w:wordWrap/>
        <w:overflowPunct/>
        <w:topLinePunct w:val="0"/>
        <w:autoSpaceDE/>
        <w:autoSpaceDN/>
        <w:bidi w:val="0"/>
        <w:adjustRightInd/>
        <w:snapToGrid/>
        <w:spacing w:line="600" w:lineRule="exact"/>
        <w:ind w:firstLine="560"/>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全面建立县、一般乡镇、重点村“三级”等级结构和总体规划、专项规划、详细规划“三类”国土空间规划体系，落实空间规划体系的传导和管控要求，纵向发挥对乡镇级层次国土空间总体规划和详细规划的管控引导作用；横向发挥对各类专项规划的指导和约束作用。</w:t>
      </w:r>
    </w:p>
    <w:p w14:paraId="64298E11">
      <w:pPr>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66</w:t>
      </w:r>
      <w:r>
        <w:rPr>
          <w:rFonts w:hint="eastAsia" w:ascii="楷体" w:hAnsi="楷体" w:eastAsia="楷体" w:cs="楷体"/>
          <w:b w:val="0"/>
          <w:bCs w:val="0"/>
          <w:sz w:val="32"/>
          <w:szCs w:val="32"/>
          <w:highlight w:val="none"/>
        </w:rPr>
        <w:t>条</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对</w:t>
      </w:r>
      <w:r>
        <w:rPr>
          <w:rFonts w:hint="eastAsia" w:ascii="楷体" w:hAnsi="楷体" w:eastAsia="楷体" w:cs="楷体"/>
          <w:b w:val="0"/>
          <w:bCs w:val="0"/>
          <w:sz w:val="32"/>
          <w:szCs w:val="32"/>
          <w:highlight w:val="none"/>
          <w:lang w:val="en-US" w:eastAsia="zh-CN"/>
        </w:rPr>
        <w:t>泥尔河</w:t>
      </w:r>
      <w:r>
        <w:rPr>
          <w:rFonts w:hint="eastAsia" w:ascii="楷体" w:hAnsi="楷体" w:eastAsia="楷体" w:cs="楷体"/>
          <w:b w:val="0"/>
          <w:bCs w:val="0"/>
          <w:sz w:val="32"/>
          <w:szCs w:val="32"/>
          <w:highlight w:val="none"/>
        </w:rPr>
        <w:t>乡规划的传导指引</w:t>
      </w:r>
    </w:p>
    <w:p w14:paraId="6EDA546F">
      <w:pPr>
        <w:keepNext w:val="0"/>
        <w:keepLines w:val="0"/>
        <w:pageBreakBefore w:val="0"/>
        <w:widowControl w:val="0"/>
        <w:kinsoku/>
        <w:wordWrap/>
        <w:overflowPunct/>
        <w:topLinePunct w:val="0"/>
        <w:autoSpaceDE/>
        <w:autoSpaceDN/>
        <w:bidi w:val="0"/>
        <w:adjustRightInd/>
        <w:snapToGrid/>
        <w:spacing w:line="600" w:lineRule="exact"/>
        <w:ind w:firstLine="560"/>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规划泥尔河乡村庄规划编制单元8个。其中除3个村：青山村、双丰村、进军村不单独编制村庄规划，其余五个村单独编制村庄规划。村庄规划应严格落实建设用地、生态保护红线、永久基本农田规模。本次规划中涉及的约束性指标、预期性指标分别传导至各村庄，以指导村庄规划编制。</w:t>
      </w:r>
    </w:p>
    <w:p w14:paraId="2B80756A">
      <w:pPr>
        <w:pStyle w:val="5"/>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67</w:t>
      </w:r>
      <w:r>
        <w:rPr>
          <w:rFonts w:hint="eastAsia" w:ascii="楷体" w:hAnsi="楷体" w:eastAsia="楷体" w:cs="楷体"/>
          <w:b w:val="0"/>
          <w:bCs w:val="0"/>
          <w:sz w:val="32"/>
          <w:szCs w:val="32"/>
          <w:highlight w:val="none"/>
        </w:rPr>
        <w:t>条</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 xml:space="preserve"> 对相关专项规划的指导</w:t>
      </w:r>
    </w:p>
    <w:p w14:paraId="0E895956">
      <w:pPr>
        <w:keepNext w:val="0"/>
        <w:keepLines w:val="0"/>
        <w:pageBreakBefore w:val="0"/>
        <w:widowControl w:val="0"/>
        <w:kinsoku/>
        <w:wordWrap/>
        <w:overflowPunct/>
        <w:topLinePunct w:val="0"/>
        <w:autoSpaceDE/>
        <w:autoSpaceDN/>
        <w:bidi w:val="0"/>
        <w:adjustRightInd/>
        <w:snapToGrid/>
        <w:spacing w:line="600" w:lineRule="exact"/>
        <w:ind w:firstLine="560"/>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以国土空间总体规划明确的目标作为各专项规划的总体目标，按照各专项规划的需求细化分解。理顺国土空间总体规划明确的专项系统策略与机制，作为各专项系统规划编制的顶层技术要求，落实到各专项规划的编制中，体现对上位规划要求传导与延续。严格传导落实核心指标，适当充实各专项规划编制与实施的操作性指标，以发挥其对规划建设全过程的控制和引导作用。强化对资源总量和利用效率、空间管控底线的指标管控。结合各专项规划编制要求，补充深化方案、策略与机制。</w:t>
      </w:r>
    </w:p>
    <w:p w14:paraId="688B6D83">
      <w:pPr>
        <w:pStyle w:val="5"/>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68</w:t>
      </w:r>
      <w:r>
        <w:rPr>
          <w:rFonts w:hint="eastAsia" w:ascii="楷体" w:hAnsi="楷体" w:eastAsia="楷体" w:cs="楷体"/>
          <w:b w:val="0"/>
          <w:bCs w:val="0"/>
          <w:sz w:val="32"/>
          <w:szCs w:val="32"/>
          <w:highlight w:val="none"/>
        </w:rPr>
        <w:t xml:space="preserve">条 </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健全国土空间用途管制制度</w:t>
      </w:r>
    </w:p>
    <w:p w14:paraId="3F5DD9D2">
      <w:pPr>
        <w:keepNext w:val="0"/>
        <w:keepLines w:val="0"/>
        <w:pageBreakBefore w:val="0"/>
        <w:widowControl w:val="0"/>
        <w:kinsoku/>
        <w:wordWrap/>
        <w:overflowPunct/>
        <w:topLinePunct w:val="0"/>
        <w:autoSpaceDE/>
        <w:autoSpaceDN/>
        <w:bidi w:val="0"/>
        <w:adjustRightInd/>
        <w:snapToGrid/>
        <w:spacing w:line="600" w:lineRule="exact"/>
        <w:ind w:firstLine="560"/>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以《规划》为依据，建立健全统一的全域、全要素国土空间用途管制制度。依据《规划》确定的分区和用途，按照国家确定的不同功能空间、不同用途的转换规则，细化转换方向、条件和管理要求，加强地上地下、乡镇乡村空间的统一用途管制。</w:t>
      </w:r>
    </w:p>
    <w:p w14:paraId="104F383A">
      <w:pPr>
        <w:pStyle w:val="5"/>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69</w:t>
      </w:r>
      <w:r>
        <w:rPr>
          <w:rFonts w:hint="eastAsia" w:ascii="楷体" w:hAnsi="楷体" w:eastAsia="楷体" w:cs="楷体"/>
          <w:b w:val="0"/>
          <w:bCs w:val="0"/>
          <w:sz w:val="32"/>
          <w:szCs w:val="32"/>
          <w:highlight w:val="none"/>
        </w:rPr>
        <w:t xml:space="preserve">条 </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加强土地利用年度计划管理</w:t>
      </w:r>
    </w:p>
    <w:p w14:paraId="775A97D0">
      <w:pPr>
        <w:keepNext w:val="0"/>
        <w:keepLines w:val="0"/>
        <w:pageBreakBefore w:val="0"/>
        <w:widowControl w:val="0"/>
        <w:kinsoku/>
        <w:wordWrap/>
        <w:overflowPunct/>
        <w:topLinePunct w:val="0"/>
        <w:autoSpaceDE/>
        <w:autoSpaceDN/>
        <w:bidi w:val="0"/>
        <w:adjustRightInd/>
        <w:snapToGrid/>
        <w:spacing w:line="600" w:lineRule="exact"/>
        <w:ind w:firstLine="560"/>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依据《规划》统筹相关专项规划的空间需求和国家下达的年度土地利用计划等控制指标，结合经济社会发展水平和节约集约用地状况等，科学编制土地利用年度计划。加强土地利用年度计划执行情况评估考核，新增建设用地计划指标实行指令性管理。</w:t>
      </w:r>
    </w:p>
    <w:p w14:paraId="383541AA">
      <w:pPr>
        <w:pStyle w:val="5"/>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70</w:t>
      </w:r>
      <w:r>
        <w:rPr>
          <w:rFonts w:hint="eastAsia" w:ascii="楷体" w:hAnsi="楷体" w:eastAsia="楷体" w:cs="楷体"/>
          <w:b w:val="0"/>
          <w:bCs w:val="0"/>
          <w:sz w:val="32"/>
          <w:szCs w:val="32"/>
          <w:highlight w:val="none"/>
        </w:rPr>
        <w:t xml:space="preserve">条 </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加强交通基础设施建设</w:t>
      </w:r>
    </w:p>
    <w:p w14:paraId="537C3F92">
      <w:pPr>
        <w:keepNext w:val="0"/>
        <w:keepLines w:val="0"/>
        <w:pageBreakBefore w:val="0"/>
        <w:widowControl w:val="0"/>
        <w:kinsoku/>
        <w:wordWrap/>
        <w:overflowPunct/>
        <w:topLinePunct w:val="0"/>
        <w:autoSpaceDE/>
        <w:autoSpaceDN/>
        <w:bidi w:val="0"/>
        <w:adjustRightInd/>
        <w:snapToGrid/>
        <w:spacing w:line="600" w:lineRule="exact"/>
        <w:ind w:firstLine="560"/>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实施农村公路升级工程、路网畅通工程等交通项目，完善交通主骨架网，强化与村庄之间主要联系通道，改善各村庄的交通可达性。</w:t>
      </w:r>
    </w:p>
    <w:p w14:paraId="67CD6611">
      <w:pPr>
        <w:pStyle w:val="5"/>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71</w:t>
      </w:r>
      <w:r>
        <w:rPr>
          <w:rFonts w:hint="eastAsia" w:ascii="楷体" w:hAnsi="楷体" w:eastAsia="楷体" w:cs="楷体"/>
          <w:b w:val="0"/>
          <w:bCs w:val="0"/>
          <w:sz w:val="32"/>
          <w:szCs w:val="32"/>
          <w:highlight w:val="none"/>
        </w:rPr>
        <w:t>条</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 xml:space="preserve"> 加强水利基础设施建设</w:t>
      </w:r>
    </w:p>
    <w:p w14:paraId="2103D750">
      <w:pPr>
        <w:keepNext w:val="0"/>
        <w:keepLines w:val="0"/>
        <w:pageBreakBefore w:val="0"/>
        <w:widowControl w:val="0"/>
        <w:kinsoku/>
        <w:wordWrap/>
        <w:overflowPunct/>
        <w:topLinePunct w:val="0"/>
        <w:autoSpaceDE/>
        <w:autoSpaceDN/>
        <w:bidi w:val="0"/>
        <w:adjustRightInd/>
        <w:snapToGrid/>
        <w:spacing w:line="600" w:lineRule="exact"/>
        <w:ind w:firstLine="560"/>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r>
        <w:rPr>
          <w:rFonts w:hint="eastAsia" w:ascii="Times New Roman" w:hAnsi="Times New Roman" w:eastAsia="仿宋_GB2312" w:cs="Times New Roman"/>
          <w:kern w:val="2"/>
          <w:sz w:val="32"/>
          <w:szCs w:val="22"/>
          <w:highlight w:val="none"/>
          <w:lang w:val="en-US" w:eastAsia="zh-CN" w:bidi="ar-SA"/>
          <w14:ligatures w14:val="none"/>
        </w:rPr>
        <w:t>积极完善供排水、防洪减灾、水生态修复治理及水利信息化等设施建设，着力实施水资源配置及供水保障能力提升工程、防洪排涝减灾及水利信息化工程、河湖及水生态水环境保护综合治理工程、水资源高效利用工程，全面提升水利保障能力。</w:t>
      </w:r>
    </w:p>
    <w:p w14:paraId="179B8C77">
      <w:pPr>
        <w:keepNext w:val="0"/>
        <w:keepLines w:val="0"/>
        <w:pageBreakBefore w:val="0"/>
        <w:widowControl w:val="0"/>
        <w:kinsoku/>
        <w:wordWrap/>
        <w:overflowPunct/>
        <w:topLinePunct w:val="0"/>
        <w:autoSpaceDE/>
        <w:autoSpaceDN/>
        <w:bidi w:val="0"/>
        <w:adjustRightInd/>
        <w:snapToGrid/>
        <w:spacing w:line="600" w:lineRule="exact"/>
        <w:ind w:firstLine="560"/>
        <w:textAlignment w:val="auto"/>
        <w:outlineLvl w:val="9"/>
        <w:rPr>
          <w:rFonts w:hint="eastAsia" w:ascii="Times New Roman" w:hAnsi="Times New Roman" w:eastAsia="仿宋_GB2312" w:cs="Times New Roman"/>
          <w:kern w:val="2"/>
          <w:sz w:val="32"/>
          <w:szCs w:val="22"/>
          <w:highlight w:val="none"/>
          <w:lang w:val="en-US" w:eastAsia="zh-CN" w:bidi="ar-SA"/>
          <w14:ligatures w14:val="none"/>
        </w:rPr>
      </w:pPr>
    </w:p>
    <w:p w14:paraId="24BB0AB9">
      <w:pPr>
        <w:pageBreakBefore w:val="0"/>
        <w:numPr>
          <w:ilvl w:val="0"/>
          <w:numId w:val="1"/>
        </w:numPr>
        <w:wordWrap/>
        <w:overflowPunct/>
        <w:bidi w:val="0"/>
        <w:spacing w:line="600" w:lineRule="exact"/>
        <w:ind w:left="0" w:leftChars="0" w:firstLine="0" w:firstLineChars="0"/>
        <w:jc w:val="center"/>
        <w:rPr>
          <w:rFonts w:hint="eastAsia" w:ascii="黑体" w:hAnsi="黑体" w:eastAsia="黑体" w:cs="黑体"/>
          <w:b w:val="0"/>
          <w:bCs/>
          <w:kern w:val="2"/>
          <w:sz w:val="32"/>
          <w:szCs w:val="32"/>
          <w:highlight w:val="none"/>
          <w:lang w:val="en-US" w:eastAsia="zh-CN" w:bidi="ar"/>
        </w:rPr>
      </w:pPr>
      <w:r>
        <w:rPr>
          <w:rFonts w:hint="eastAsia" w:ascii="黑体" w:hAnsi="黑体" w:eastAsia="黑体" w:cs="黑体"/>
          <w:b w:val="0"/>
          <w:bCs/>
          <w:kern w:val="2"/>
          <w:sz w:val="32"/>
          <w:szCs w:val="32"/>
          <w:highlight w:val="none"/>
          <w:lang w:val="en-US" w:eastAsia="zh-CN" w:bidi="ar"/>
        </w:rPr>
        <w:t xml:space="preserve"> 规划实施</w:t>
      </w:r>
    </w:p>
    <w:p w14:paraId="2F5C21C7">
      <w:pPr>
        <w:pageBreakBefore w:val="0"/>
        <w:numPr>
          <w:ilvl w:val="0"/>
          <w:numId w:val="0"/>
        </w:numPr>
        <w:wordWrap/>
        <w:overflowPunct/>
        <w:bidi w:val="0"/>
        <w:spacing w:line="600" w:lineRule="exact"/>
        <w:rPr>
          <w:rFonts w:hint="eastAsia" w:ascii="楷体" w:hAnsi="楷体" w:eastAsia="楷体" w:cs="楷体"/>
          <w:b w:val="0"/>
          <w:bCs w:val="0"/>
          <w:sz w:val="32"/>
          <w:szCs w:val="32"/>
          <w:highlight w:val="none"/>
          <w:lang w:val="en-US" w:eastAsia="zh-CN"/>
        </w:rPr>
      </w:pPr>
      <w:r>
        <w:rPr>
          <w:rFonts w:hint="eastAsia" w:ascii="楷体" w:hAnsi="楷体" w:eastAsia="楷体" w:cs="楷体"/>
          <w:b w:val="0"/>
          <w:bCs w:val="0"/>
          <w:sz w:val="32"/>
          <w:szCs w:val="32"/>
          <w:highlight w:val="none"/>
          <w:lang w:val="en-US" w:eastAsia="zh-CN"/>
        </w:rPr>
        <w:t>第72条  近期行动计划</w:t>
      </w:r>
    </w:p>
    <w:p w14:paraId="3A856481">
      <w:pPr>
        <w:pageBreakBefore w:val="0"/>
        <w:numPr>
          <w:ilvl w:val="0"/>
          <w:numId w:val="0"/>
        </w:numPr>
        <w:wordWrap/>
        <w:overflowPunct/>
        <w:bidi w:val="0"/>
        <w:spacing w:line="600" w:lineRule="exact"/>
        <w:ind w:firstLine="640" w:firstLineChars="200"/>
        <w:rPr>
          <w:rFonts w:hint="eastAsia" w:ascii="Times New Roman" w:hAnsi="Times New Roman" w:eastAsia="仿宋_GB2312" w:cs="Times New Roman"/>
          <w:b w:val="0"/>
          <w:bCs w:val="0"/>
          <w:kern w:val="2"/>
          <w:sz w:val="32"/>
          <w:szCs w:val="22"/>
          <w:highlight w:val="none"/>
          <w:lang w:val="en-US" w:eastAsia="zh-CN" w:bidi="ar-SA"/>
          <w14:ligatures w14:val="none"/>
        </w:rPr>
      </w:pPr>
      <w:r>
        <w:rPr>
          <w:rFonts w:hint="eastAsia" w:ascii="Times New Roman" w:hAnsi="Times New Roman" w:eastAsia="仿宋_GB2312" w:cs="Times New Roman"/>
          <w:b w:val="0"/>
          <w:bCs w:val="0"/>
          <w:kern w:val="2"/>
          <w:sz w:val="32"/>
          <w:szCs w:val="22"/>
          <w:highlight w:val="none"/>
          <w:lang w:val="en-US" w:eastAsia="zh-CN" w:bidi="ar-SA"/>
          <w14:ligatures w14:val="none"/>
        </w:rPr>
        <w:t>围绕“两个一百年”发展战略目标和高质量发展要求，规划到2025年，经济社会发展达到一个新的历史高度。绿色产业和经济实力迈上新台阶，基础设施和乡村建设取得新突破，绿色本底和生态环境持续改善，民生福祉和人民获得感持续增进。生态文明建设取得新进步，国土空间开发格局不断优化，基础设施更加完善。</w:t>
      </w:r>
    </w:p>
    <w:p w14:paraId="55D4077A">
      <w:pPr>
        <w:pageBreakBefore w:val="0"/>
        <w:numPr>
          <w:ilvl w:val="0"/>
          <w:numId w:val="0"/>
        </w:numPr>
        <w:wordWrap/>
        <w:overflowPunct/>
        <w:bidi w:val="0"/>
        <w:spacing w:line="600" w:lineRule="exact"/>
        <w:ind w:firstLine="640" w:firstLineChars="200"/>
        <w:rPr>
          <w:rFonts w:hint="eastAsia" w:ascii="Times New Roman" w:hAnsi="Times New Roman" w:eastAsia="仿宋_GB2312" w:cs="Times New Roman"/>
          <w:b w:val="0"/>
          <w:bCs w:val="0"/>
          <w:kern w:val="2"/>
          <w:sz w:val="32"/>
          <w:szCs w:val="22"/>
          <w:highlight w:val="none"/>
          <w:lang w:val="en-US" w:eastAsia="zh-CN" w:bidi="ar-SA"/>
          <w14:ligatures w14:val="none"/>
        </w:rPr>
      </w:pPr>
      <w:r>
        <w:rPr>
          <w:rFonts w:hint="eastAsia" w:ascii="Times New Roman" w:hAnsi="Times New Roman" w:eastAsia="仿宋_GB2312" w:cs="Times New Roman"/>
          <w:b w:val="0"/>
          <w:bCs w:val="0"/>
          <w:kern w:val="2"/>
          <w:sz w:val="32"/>
          <w:szCs w:val="22"/>
          <w:highlight w:val="none"/>
          <w:lang w:val="en-US" w:eastAsia="zh-CN" w:bidi="ar-SA"/>
          <w14:ligatures w14:val="none"/>
        </w:rPr>
        <w:t>对近期规划做出统筹安排，明确近期内实施规划的重点和发展时序，统筹安排重大工程和项目，包括但不限于：高标准农田建设工程、耕地垦造工程、建设用地复垦工程、耕地质量提升工程等农用地整治工程；水污染防治和水生态修复、重点流域水土流失治理、生物多样性保护、森林质量改善、土壤污染修复、自然保护地生态修复、地质灾害隐患点修复等生态修复重大工程；重要交通线路及设施工程、水利基础设施工程、能源设施工程、基础设施工程、公共服务设施项目、综合防灾减灾设施项目以及“平急两用”公共基础设施的工程和项目。</w:t>
      </w:r>
    </w:p>
    <w:p w14:paraId="3698242D">
      <w:pPr>
        <w:pStyle w:val="9"/>
        <w:rPr>
          <w:rFonts w:hint="default"/>
          <w:highlight w:val="none"/>
          <w:lang w:val="en-US" w:eastAsia="zh-CN"/>
        </w:rPr>
      </w:pPr>
    </w:p>
    <w:p w14:paraId="53E2CFC7">
      <w:pPr>
        <w:pageBreakBefore w:val="0"/>
        <w:numPr>
          <w:ilvl w:val="0"/>
          <w:numId w:val="1"/>
        </w:numPr>
        <w:wordWrap/>
        <w:overflowPunct/>
        <w:bidi w:val="0"/>
        <w:spacing w:line="600" w:lineRule="exact"/>
        <w:ind w:left="0" w:leftChars="0" w:firstLine="0" w:firstLineChars="0"/>
        <w:jc w:val="center"/>
        <w:rPr>
          <w:rFonts w:hint="eastAsia" w:ascii="黑体" w:hAnsi="黑体" w:eastAsia="黑体" w:cs="黑体"/>
          <w:b w:val="0"/>
          <w:bCs/>
          <w:kern w:val="2"/>
          <w:sz w:val="32"/>
          <w:szCs w:val="32"/>
          <w:highlight w:val="none"/>
          <w:lang w:val="en-US" w:eastAsia="zh-CN" w:bidi="ar"/>
        </w:rPr>
      </w:pPr>
      <w:bookmarkStart w:id="273" w:name="_Toc13313"/>
      <w:bookmarkStart w:id="274" w:name="_Toc29964"/>
      <w:bookmarkStart w:id="275" w:name="_Toc31319"/>
      <w:r>
        <w:rPr>
          <w:rFonts w:hint="eastAsia" w:ascii="黑体" w:hAnsi="黑体" w:eastAsia="黑体" w:cs="黑体"/>
          <w:b w:val="0"/>
          <w:bCs/>
          <w:kern w:val="2"/>
          <w:sz w:val="32"/>
          <w:szCs w:val="32"/>
          <w:highlight w:val="none"/>
          <w:lang w:val="en-US" w:eastAsia="zh-CN" w:bidi="ar"/>
        </w:rPr>
        <w:t xml:space="preserve"> 规划</w:t>
      </w:r>
      <w:bookmarkEnd w:id="273"/>
      <w:bookmarkEnd w:id="274"/>
      <w:bookmarkEnd w:id="275"/>
      <w:r>
        <w:rPr>
          <w:rFonts w:hint="eastAsia" w:ascii="黑体" w:hAnsi="黑体" w:eastAsia="黑体" w:cs="黑体"/>
          <w:b w:val="0"/>
          <w:bCs/>
          <w:kern w:val="2"/>
          <w:sz w:val="32"/>
          <w:szCs w:val="32"/>
          <w:highlight w:val="none"/>
          <w:lang w:val="en-US" w:eastAsia="zh-CN" w:bidi="ar"/>
        </w:rPr>
        <w:t>实施保障</w:t>
      </w:r>
    </w:p>
    <w:p w14:paraId="2FF82017">
      <w:pPr>
        <w:pageBreakBefore w:val="0"/>
        <w:numPr>
          <w:ilvl w:val="0"/>
          <w:numId w:val="0"/>
        </w:numPr>
        <w:wordWrap/>
        <w:overflowPunct/>
        <w:bidi w:val="0"/>
        <w:spacing w:line="600" w:lineRule="exact"/>
        <w:ind w:leftChars="0"/>
        <w:jc w:val="both"/>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73</w:t>
      </w:r>
      <w:r>
        <w:rPr>
          <w:rFonts w:hint="eastAsia" w:ascii="楷体" w:hAnsi="楷体" w:eastAsia="楷体" w:cs="楷体"/>
          <w:b w:val="0"/>
          <w:bCs w:val="0"/>
          <w:sz w:val="32"/>
          <w:szCs w:val="32"/>
          <w:highlight w:val="none"/>
        </w:rPr>
        <w:t>条</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 xml:space="preserve"> 建立规划动态评估调整机制</w:t>
      </w:r>
    </w:p>
    <w:p w14:paraId="52174FC8">
      <w:pPr>
        <w:pageBreakBefore w:val="0"/>
        <w:numPr>
          <w:ilvl w:val="0"/>
          <w:numId w:val="0"/>
        </w:numPr>
        <w:wordWrap/>
        <w:overflowPunct/>
        <w:bidi w:val="0"/>
        <w:spacing w:line="600" w:lineRule="exact"/>
        <w:ind w:leftChars="0" w:firstLine="640" w:firstLineChars="200"/>
        <w:jc w:val="both"/>
        <w:rPr>
          <w:rFonts w:hint="eastAsia" w:ascii="Times New Roman" w:hAnsi="Times New Roman" w:eastAsia="仿宋_GB2312" w:cs="Times New Roman"/>
          <w:b w:val="0"/>
          <w:bCs w:val="0"/>
          <w:kern w:val="2"/>
          <w:sz w:val="32"/>
          <w:szCs w:val="22"/>
          <w:highlight w:val="none"/>
          <w:lang w:val="en-US" w:eastAsia="zh-CN" w:bidi="ar-SA"/>
          <w14:ligatures w14:val="none"/>
        </w:rPr>
      </w:pPr>
      <w:r>
        <w:rPr>
          <w:rFonts w:hint="eastAsia" w:ascii="Times New Roman" w:hAnsi="Times New Roman" w:eastAsia="仿宋_GB2312" w:cs="Times New Roman"/>
          <w:b w:val="0"/>
          <w:bCs w:val="0"/>
          <w:kern w:val="2"/>
          <w:sz w:val="32"/>
          <w:szCs w:val="22"/>
          <w:highlight w:val="none"/>
          <w:lang w:val="en-US" w:eastAsia="zh-CN" w:bidi="ar-SA"/>
          <w14:ligatures w14:val="none"/>
        </w:rPr>
        <w:t>按照国土空间规划体检评估要求，建立规划动态评估调整机制，开展定期体检和五年一评估，将国土空间规划体检评估结果作为编制、审批、修改规划和审计、执法、督察的重要参考。规划实施过程中，因国家重大战略和项目实施、重大政策调整、经济社会发展条件发生重大变化、发生重大自然灾害等需要修改规划的，规划编制机关可以按程序修改规划，报原规划审批机关批准。</w:t>
      </w:r>
    </w:p>
    <w:p w14:paraId="19E8DE7F">
      <w:pPr>
        <w:pageBreakBefore w:val="0"/>
        <w:numPr>
          <w:ilvl w:val="0"/>
          <w:numId w:val="0"/>
        </w:numPr>
        <w:wordWrap/>
        <w:overflowPunct/>
        <w:bidi w:val="0"/>
        <w:spacing w:line="600" w:lineRule="exact"/>
        <w:jc w:val="both"/>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74</w:t>
      </w:r>
      <w:r>
        <w:rPr>
          <w:rFonts w:hint="eastAsia" w:ascii="楷体" w:hAnsi="楷体" w:eastAsia="楷体" w:cs="楷体"/>
          <w:b w:val="0"/>
          <w:bCs w:val="0"/>
          <w:sz w:val="32"/>
          <w:szCs w:val="32"/>
          <w:highlight w:val="none"/>
        </w:rPr>
        <w:t xml:space="preserve">条 </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建立多规协调机制</w:t>
      </w:r>
    </w:p>
    <w:p w14:paraId="68D6B946">
      <w:pPr>
        <w:pageBreakBefore w:val="0"/>
        <w:numPr>
          <w:ilvl w:val="0"/>
          <w:numId w:val="0"/>
        </w:numPr>
        <w:wordWrap/>
        <w:overflowPunct/>
        <w:bidi w:val="0"/>
        <w:spacing w:line="600" w:lineRule="exact"/>
        <w:ind w:firstLine="640" w:firstLineChars="200"/>
        <w:jc w:val="both"/>
        <w:rPr>
          <w:rFonts w:hint="eastAsia" w:ascii="Times New Roman" w:hAnsi="Times New Roman" w:eastAsia="仿宋_GB2312" w:cs="Times New Roman"/>
          <w:b w:val="0"/>
          <w:bCs w:val="0"/>
          <w:kern w:val="2"/>
          <w:sz w:val="32"/>
          <w:szCs w:val="22"/>
          <w:highlight w:val="none"/>
          <w:lang w:val="en-US" w:eastAsia="zh-CN" w:bidi="ar-SA"/>
          <w14:ligatures w14:val="none"/>
        </w:rPr>
      </w:pPr>
      <w:r>
        <w:rPr>
          <w:rFonts w:hint="eastAsia" w:ascii="Times New Roman" w:hAnsi="Times New Roman" w:eastAsia="仿宋_GB2312" w:cs="Times New Roman"/>
          <w:b w:val="0"/>
          <w:bCs w:val="0"/>
          <w:kern w:val="2"/>
          <w:sz w:val="32"/>
          <w:szCs w:val="22"/>
          <w:highlight w:val="none"/>
          <w:lang w:val="en-US" w:eastAsia="zh-CN" w:bidi="ar-SA"/>
          <w14:ligatures w14:val="none"/>
        </w:rPr>
        <w:t>在“多规合一”基础上建立国土空间规划，在管控边界、乡村建设用地规模方面与土地利用规划衔接。以本次国土空间规划为基础，着力解决空间规划重叠冲突问题，构建“一个发展目标、一套指标体系、一张空间蓝图、一套技术标准和一个数据平台”。整合各部门规划职能，统一行使规划编制事权，探索项目审批多规联动。</w:t>
      </w:r>
    </w:p>
    <w:p w14:paraId="7B9D14B7">
      <w:pPr>
        <w:pStyle w:val="5"/>
        <w:pageBreakBefore w:val="0"/>
        <w:widowControl w:val="0"/>
        <w:kinsoku/>
        <w:wordWrap/>
        <w:overflowPunct/>
        <w:topLinePunct w:val="0"/>
        <w:autoSpaceDE/>
        <w:autoSpaceDN/>
        <w:bidi w:val="0"/>
        <w:adjustRightInd/>
        <w:snapToGrid/>
        <w:spacing w:before="0" w:after="0" w:line="600" w:lineRule="exact"/>
        <w:ind w:firstLine="0" w:firstLineChars="0"/>
        <w:jc w:val="both"/>
        <w:textAlignment w:val="auto"/>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第</w:t>
      </w:r>
      <w:r>
        <w:rPr>
          <w:rFonts w:hint="eastAsia" w:ascii="楷体" w:hAnsi="楷体" w:eastAsia="楷体" w:cs="楷体"/>
          <w:b w:val="0"/>
          <w:bCs w:val="0"/>
          <w:sz w:val="32"/>
          <w:szCs w:val="32"/>
          <w:highlight w:val="none"/>
          <w:lang w:val="en-US" w:eastAsia="zh-CN"/>
        </w:rPr>
        <w:t>75</w:t>
      </w:r>
      <w:r>
        <w:rPr>
          <w:rFonts w:hint="eastAsia" w:ascii="楷体" w:hAnsi="楷体" w:eastAsia="楷体" w:cs="楷体"/>
          <w:b w:val="0"/>
          <w:bCs w:val="0"/>
          <w:sz w:val="32"/>
          <w:szCs w:val="32"/>
          <w:highlight w:val="none"/>
        </w:rPr>
        <w:t>条</w:t>
      </w:r>
      <w:r>
        <w:rPr>
          <w:rFonts w:hint="eastAsia" w:ascii="楷体" w:hAnsi="楷体" w:eastAsia="楷体" w:cs="楷体"/>
          <w:b w:val="0"/>
          <w:bCs w:val="0"/>
          <w:sz w:val="32"/>
          <w:szCs w:val="32"/>
          <w:highlight w:val="none"/>
          <w:lang w:val="en-US" w:eastAsia="zh-CN"/>
        </w:rPr>
        <w:t xml:space="preserve"> </w:t>
      </w:r>
      <w:r>
        <w:rPr>
          <w:rFonts w:hint="eastAsia" w:ascii="楷体" w:hAnsi="楷体" w:eastAsia="楷体" w:cs="楷体"/>
          <w:b w:val="0"/>
          <w:bCs w:val="0"/>
          <w:sz w:val="32"/>
          <w:szCs w:val="32"/>
          <w:highlight w:val="none"/>
        </w:rPr>
        <w:t xml:space="preserve"> 强化公众参与与社会监督</w:t>
      </w:r>
    </w:p>
    <w:p w14:paraId="42B99A5D">
      <w:pPr>
        <w:pageBreakBefore w:val="0"/>
        <w:numPr>
          <w:ilvl w:val="0"/>
          <w:numId w:val="0"/>
        </w:numPr>
        <w:wordWrap/>
        <w:overflowPunct/>
        <w:bidi w:val="0"/>
        <w:spacing w:line="600" w:lineRule="exact"/>
        <w:ind w:firstLine="640" w:firstLineChars="200"/>
        <w:jc w:val="both"/>
        <w:rPr>
          <w:rFonts w:hint="eastAsia" w:ascii="Times New Roman" w:hAnsi="Times New Roman" w:eastAsia="仿宋_GB2312" w:cs="Times New Roman"/>
          <w:b w:val="0"/>
          <w:bCs w:val="0"/>
          <w:kern w:val="2"/>
          <w:sz w:val="32"/>
          <w:szCs w:val="22"/>
          <w:highlight w:val="none"/>
          <w:lang w:val="en-US" w:eastAsia="zh-CN" w:bidi="ar-SA"/>
          <w14:ligatures w14:val="none"/>
        </w:rPr>
      </w:pPr>
      <w:r>
        <w:rPr>
          <w:rFonts w:hint="eastAsia" w:ascii="Times New Roman" w:hAnsi="Times New Roman" w:eastAsia="仿宋_GB2312" w:cs="Times New Roman"/>
          <w:b w:val="0"/>
          <w:bCs w:val="0"/>
          <w:kern w:val="2"/>
          <w:sz w:val="32"/>
          <w:szCs w:val="22"/>
          <w:highlight w:val="none"/>
          <w:lang w:val="en-US" w:eastAsia="zh-CN" w:bidi="ar-SA"/>
          <w14:ligatures w14:val="none"/>
        </w:rPr>
        <w:t>加大国土空间规划的公众参与机制，建立全过程的公众参与制度和专家咨询制度，充分调动村民参与规划管理决策的积极性。加强对总体规划的宣传，将公众参与引入规划编制和管理的各个阶段。提高全社会对总体规划及实施重要性的认识，增强规划意识，提高维护和执行规划的自觉性，推进规划的实施。</w:t>
      </w:r>
    </w:p>
    <w:p w14:paraId="384DBFB7">
      <w:pPr>
        <w:pageBreakBefore w:val="0"/>
        <w:numPr>
          <w:ilvl w:val="0"/>
          <w:numId w:val="0"/>
        </w:numPr>
        <w:wordWrap/>
        <w:overflowPunct/>
        <w:bidi w:val="0"/>
        <w:spacing w:line="600" w:lineRule="exact"/>
        <w:ind w:firstLine="640" w:firstLineChars="200"/>
        <w:jc w:val="both"/>
        <w:rPr>
          <w:rFonts w:hint="eastAsia" w:ascii="Times New Roman" w:hAnsi="Times New Roman" w:eastAsia="仿宋_GB2312" w:cs="Times New Roman"/>
          <w:b w:val="0"/>
          <w:bCs w:val="0"/>
          <w:kern w:val="2"/>
          <w:sz w:val="32"/>
          <w:szCs w:val="22"/>
          <w:highlight w:val="none"/>
          <w:lang w:val="en-US" w:eastAsia="zh-CN" w:bidi="ar-SA"/>
          <w14:ligatures w14:val="none"/>
        </w:rPr>
      </w:pPr>
    </w:p>
    <w:bookmarkEnd w:id="262"/>
    <w:bookmarkEnd w:id="263"/>
    <w:bookmarkEnd w:id="264"/>
    <w:bookmarkEnd w:id="265"/>
    <w:bookmarkEnd w:id="266"/>
    <w:bookmarkEnd w:id="267"/>
    <w:bookmarkEnd w:id="268"/>
    <w:bookmarkEnd w:id="269"/>
    <w:bookmarkEnd w:id="270"/>
    <w:p w14:paraId="066A2597">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heme="minorEastAsia" w:hAnsiTheme="minorEastAsia" w:eastAsiaTheme="minorEastAsia" w:cstheme="minorEastAsia"/>
          <w:kern w:val="2"/>
          <w:sz w:val="24"/>
          <w:szCs w:val="24"/>
          <w:highlight w:val="none"/>
          <w:bdr w:val="single" w:color="FF0000" w:sz="4" w:space="0"/>
          <w:lang w:val="en-US" w:eastAsia="zh-CN" w:bidi="ar-SA"/>
        </w:rPr>
      </w:pPr>
    </w:p>
    <w:sectPr>
      <w:headerReference r:id="rId5" w:type="default"/>
      <w:footerReference r:id="rId6" w:type="default"/>
      <w:pgSz w:w="11906" w:h="16838"/>
      <w:pgMar w:top="1440" w:right="1803" w:bottom="1440" w:left="1803" w:header="851" w:footer="992" w:gutter="0"/>
      <w:pgBorders>
        <w:top w:val="none" w:sz="0" w:space="0"/>
        <w:left w:val="none" w:sz="0" w:space="0"/>
        <w:bottom w:val="none" w:sz="0" w:space="0"/>
        <w:right w:val="none" w:sz="0" w:space="0"/>
      </w:pgBorders>
      <w:pgNumType w:fmt="decimal" w:start="1"/>
      <w:cols w:space="0" w:num="1"/>
      <w:rtlGutter w:val="0"/>
      <w:docGrid w:type="lines" w:linePitch="43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409FCA-4610-4103-9956-9E9686D5FE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268AF84-476D-46F6-9B45-9175573EF922}"/>
  </w:font>
  <w:font w:name="仿宋">
    <w:panose1 w:val="02010609060101010101"/>
    <w:charset w:val="86"/>
    <w:family w:val="modern"/>
    <w:pitch w:val="default"/>
    <w:sig w:usb0="800002BF" w:usb1="38CF7CFA" w:usb2="00000016" w:usb3="00000000" w:csb0="00040001" w:csb1="00000000"/>
    <w:embedRegular r:id="rId3" w:fontKey="{CA15A16D-CF3C-4E90-8E18-347014E14A87}"/>
  </w:font>
  <w:font w:name="华文仿宋">
    <w:altName w:val="仿宋"/>
    <w:panose1 w:val="02010600040101010101"/>
    <w:charset w:val="86"/>
    <w:family w:val="auto"/>
    <w:pitch w:val="default"/>
    <w:sig w:usb0="00000000" w:usb1="00000000" w:usb2="00000000" w:usb3="00000000" w:csb0="0004009F" w:csb1="DFD70000"/>
  </w:font>
  <w:font w:name="Calibri Light">
    <w:panose1 w:val="020F03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embedRegular r:id="rId4" w:fontKey="{3D5716DA-CE18-4CF2-B5DF-C4F099D2AED5}"/>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5" w:fontKey="{41D2E909-6944-4C62-B3E2-16ACE12ACBCE}"/>
  </w:font>
  <w:font w:name="微软雅黑">
    <w:panose1 w:val="020B0503020204020204"/>
    <w:charset w:val="86"/>
    <w:family w:val="swiss"/>
    <w:pitch w:val="default"/>
    <w:sig w:usb0="80000287" w:usb1="2ACF3C50" w:usb2="00000016" w:usb3="00000000" w:csb0="0004001F" w:csb1="00000000"/>
    <w:embedRegular r:id="rId6" w:fontKey="{3D007028-3282-4C2D-9E21-9A2D94E024F5}"/>
  </w:font>
  <w:font w:name="方正小标宋_GBK">
    <w:panose1 w:val="02000000000000000000"/>
    <w:charset w:val="86"/>
    <w:family w:val="auto"/>
    <w:pitch w:val="default"/>
    <w:sig w:usb0="A00002BF" w:usb1="38CF7CFA" w:usb2="00082016" w:usb3="00000000" w:csb0="00040001" w:csb1="00000000"/>
    <w:embedRegular r:id="rId7" w:fontKey="{5F66E960-D127-42F1-865E-B5108410E1D2}"/>
  </w:font>
  <w:font w:name="Calibri (正文)">
    <w:altName w:val="Calibri"/>
    <w:panose1 w:val="00000000000000000000"/>
    <w:charset w:val="00"/>
    <w:family w:val="auto"/>
    <w:pitch w:val="default"/>
    <w:sig w:usb0="00000000" w:usb1="00000000" w:usb2="00000000" w:usb3="00000000" w:csb0="00000000" w:csb1="00000000"/>
    <w:embedRegular r:id="rId8" w:fontKey="{66D02FEB-2C2C-411E-8661-4C31CB38A555}"/>
  </w:font>
  <w:font w:name="仿宋_GB2312">
    <w:panose1 w:val="02010609030101010101"/>
    <w:charset w:val="86"/>
    <w:family w:val="modern"/>
    <w:pitch w:val="default"/>
    <w:sig w:usb0="00000001" w:usb1="080E0000" w:usb2="00000000" w:usb3="00000000" w:csb0="00040000" w:csb1="00000000"/>
    <w:embedRegular r:id="rId9" w:fontKey="{FBCF9EA1-F445-4E49-951C-03D61B7E69D7}"/>
  </w:font>
  <w:font w:name="方正仿宋_GB2312">
    <w:panose1 w:val="02000000000000000000"/>
    <w:charset w:val="86"/>
    <w:family w:val="auto"/>
    <w:pitch w:val="default"/>
    <w:sig w:usb0="A00002BF" w:usb1="184F6CFA" w:usb2="00000012" w:usb3="00000000" w:csb0="00040001" w:csb1="00000000"/>
    <w:embedRegular r:id="rId10" w:fontKey="{6427DF86-7D53-4725-990C-7A50609A5DD1}"/>
  </w:font>
  <w:font w:name="WPSEMBED12">
    <w:panose1 w:val="02000000000000000000"/>
    <w:charset w:val="86"/>
    <w:family w:val="auto"/>
    <w:pitch w:val="default"/>
    <w:sig w:usb0="00000001" w:usb1="08000000" w:usb2="00000000" w:usb3="00000000" w:csb0="00040000" w:csb1="00000000"/>
  </w:font>
  <w:font w:name="WPSEMBED13">
    <w:panose1 w:val="02000000000000000000"/>
    <w:charset w:val="86"/>
    <w:family w:val="auto"/>
    <w:pitch w:val="default"/>
    <w:sig w:usb0="A00002BF" w:usb1="38CF7CFA" w:usb2="00082016" w:usb3="00000000" w:csb0="00040001" w:csb1="00000000"/>
  </w:font>
  <w:font w:name="WPSEMBED14">
    <w:panose1 w:val="02010609030101010101"/>
    <w:charset w:val="86"/>
    <w:family w:val="auto"/>
    <w:pitch w:val="default"/>
    <w:sig w:usb0="00000001" w:usb1="080E0000" w:usb2="00000000" w:usb3="00000000" w:csb0="00040000" w:csb1="00000000"/>
  </w:font>
  <w:font w:name="WPSEMBED15">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2D4B4">
    <w:pPr>
      <w:spacing w:line="169" w:lineRule="auto"/>
      <w:ind w:left="4443"/>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97A051">
                          <w:pPr>
                            <w:pStyle w:val="11"/>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097A051">
                    <w:pPr>
                      <w:pStyle w:val="11"/>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C376C">
    <w:pPr>
      <w:pBdr>
        <w:bottom w:val="none" w:color="auto" w:sz="0" w:space="0"/>
      </w:pBdr>
      <w:spacing w:line="240" w:lineRule="auto"/>
      <w:ind w:left="0" w:leftChars="0" w:firstLine="0" w:firstLineChars="0"/>
      <w:rPr>
        <w:rFonts w:ascii="仿宋" w:hAnsi="仿宋" w:eastAsia="仿宋" w:cs="仿宋"/>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F8058"/>
    <w:multiLevelType w:val="singleLevel"/>
    <w:tmpl w:val="1DEF8058"/>
    <w:lvl w:ilvl="0" w:tentative="0">
      <w:start w:val="2"/>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0"/>
  <w:bordersDoNotSurroundFooter w:val="0"/>
  <w:documentProtection w:enforcement="0"/>
  <w:defaultTabStop w:val="420"/>
  <w:drawingGridVerticalSpacing w:val="218"/>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5NjAyNjE2ZTg3ZDRjNDA2NGFhNmQxOWRjYTExYjIifQ=="/>
  </w:docVars>
  <w:rsids>
    <w:rsidRoot w:val="00000000"/>
    <w:rsid w:val="004E0863"/>
    <w:rsid w:val="019A2507"/>
    <w:rsid w:val="02305344"/>
    <w:rsid w:val="0246526F"/>
    <w:rsid w:val="03003593"/>
    <w:rsid w:val="030E077B"/>
    <w:rsid w:val="0334705A"/>
    <w:rsid w:val="03367891"/>
    <w:rsid w:val="038E4D60"/>
    <w:rsid w:val="03A2514E"/>
    <w:rsid w:val="03CD78FB"/>
    <w:rsid w:val="03D273D3"/>
    <w:rsid w:val="043F347F"/>
    <w:rsid w:val="048F465D"/>
    <w:rsid w:val="04CC30DA"/>
    <w:rsid w:val="04CF578A"/>
    <w:rsid w:val="04F95927"/>
    <w:rsid w:val="050F1CCA"/>
    <w:rsid w:val="051200B1"/>
    <w:rsid w:val="055D1082"/>
    <w:rsid w:val="056A3A4A"/>
    <w:rsid w:val="059E05CA"/>
    <w:rsid w:val="06656666"/>
    <w:rsid w:val="066B43AF"/>
    <w:rsid w:val="06863B14"/>
    <w:rsid w:val="06E8347F"/>
    <w:rsid w:val="06E91733"/>
    <w:rsid w:val="072F2309"/>
    <w:rsid w:val="077C1A03"/>
    <w:rsid w:val="07A85C03"/>
    <w:rsid w:val="084B0235"/>
    <w:rsid w:val="087A51D8"/>
    <w:rsid w:val="089D674A"/>
    <w:rsid w:val="08DC2856"/>
    <w:rsid w:val="08F90547"/>
    <w:rsid w:val="0A456D37"/>
    <w:rsid w:val="0B4B7E79"/>
    <w:rsid w:val="0BB53550"/>
    <w:rsid w:val="0BE9077B"/>
    <w:rsid w:val="0C0B7609"/>
    <w:rsid w:val="0C102A84"/>
    <w:rsid w:val="0C526181"/>
    <w:rsid w:val="0CA02408"/>
    <w:rsid w:val="0CC937B9"/>
    <w:rsid w:val="0D0610C0"/>
    <w:rsid w:val="0D8A5560"/>
    <w:rsid w:val="0DAC637B"/>
    <w:rsid w:val="0E175161"/>
    <w:rsid w:val="0EB377A9"/>
    <w:rsid w:val="0EE26D46"/>
    <w:rsid w:val="0EED4AB3"/>
    <w:rsid w:val="0EF57623"/>
    <w:rsid w:val="0F056231"/>
    <w:rsid w:val="0FDC3796"/>
    <w:rsid w:val="10473061"/>
    <w:rsid w:val="105F3BB6"/>
    <w:rsid w:val="109E4AAC"/>
    <w:rsid w:val="11371515"/>
    <w:rsid w:val="11E23C9F"/>
    <w:rsid w:val="127C3838"/>
    <w:rsid w:val="12B52333"/>
    <w:rsid w:val="14057214"/>
    <w:rsid w:val="140875B4"/>
    <w:rsid w:val="141D07CE"/>
    <w:rsid w:val="144056D6"/>
    <w:rsid w:val="14D317E3"/>
    <w:rsid w:val="152F759B"/>
    <w:rsid w:val="156846C9"/>
    <w:rsid w:val="15A404C7"/>
    <w:rsid w:val="16376C36"/>
    <w:rsid w:val="16826C6F"/>
    <w:rsid w:val="1684024A"/>
    <w:rsid w:val="175B7AB7"/>
    <w:rsid w:val="17BB529E"/>
    <w:rsid w:val="18043C25"/>
    <w:rsid w:val="18134BEA"/>
    <w:rsid w:val="186C3F0F"/>
    <w:rsid w:val="18AA1873"/>
    <w:rsid w:val="18B90798"/>
    <w:rsid w:val="19031D93"/>
    <w:rsid w:val="19756E61"/>
    <w:rsid w:val="19BC02FC"/>
    <w:rsid w:val="19EA4D01"/>
    <w:rsid w:val="19EE47F1"/>
    <w:rsid w:val="1A2F18F5"/>
    <w:rsid w:val="1A670100"/>
    <w:rsid w:val="1A7B2813"/>
    <w:rsid w:val="1B2E72B2"/>
    <w:rsid w:val="1C0A3439"/>
    <w:rsid w:val="1C891CC4"/>
    <w:rsid w:val="1CA507C5"/>
    <w:rsid w:val="1CB22FA8"/>
    <w:rsid w:val="1D4A4435"/>
    <w:rsid w:val="1D4B17ED"/>
    <w:rsid w:val="1D5A70EB"/>
    <w:rsid w:val="1E58243A"/>
    <w:rsid w:val="1F2751BC"/>
    <w:rsid w:val="1F46442E"/>
    <w:rsid w:val="205B4263"/>
    <w:rsid w:val="20685C97"/>
    <w:rsid w:val="20C53086"/>
    <w:rsid w:val="216E1C2E"/>
    <w:rsid w:val="22851DBB"/>
    <w:rsid w:val="232A40B4"/>
    <w:rsid w:val="23B95E70"/>
    <w:rsid w:val="23BD3806"/>
    <w:rsid w:val="242D23BA"/>
    <w:rsid w:val="2587479F"/>
    <w:rsid w:val="259E1CE9"/>
    <w:rsid w:val="261C26E6"/>
    <w:rsid w:val="270C4509"/>
    <w:rsid w:val="2770186D"/>
    <w:rsid w:val="277C02FA"/>
    <w:rsid w:val="28566417"/>
    <w:rsid w:val="28621E4D"/>
    <w:rsid w:val="29032B81"/>
    <w:rsid w:val="293164A9"/>
    <w:rsid w:val="294B3B9D"/>
    <w:rsid w:val="29585285"/>
    <w:rsid w:val="29954941"/>
    <w:rsid w:val="2AA91689"/>
    <w:rsid w:val="2C4464F3"/>
    <w:rsid w:val="2CDA29B3"/>
    <w:rsid w:val="2D482013"/>
    <w:rsid w:val="2E556795"/>
    <w:rsid w:val="2EF33A08"/>
    <w:rsid w:val="2F1A6C62"/>
    <w:rsid w:val="2F1D6BCC"/>
    <w:rsid w:val="2F312C1D"/>
    <w:rsid w:val="2FD34E0E"/>
    <w:rsid w:val="2FEB48CE"/>
    <w:rsid w:val="2FF752D6"/>
    <w:rsid w:val="3002742B"/>
    <w:rsid w:val="30E47305"/>
    <w:rsid w:val="31536E20"/>
    <w:rsid w:val="316A7463"/>
    <w:rsid w:val="326D476B"/>
    <w:rsid w:val="32717DD8"/>
    <w:rsid w:val="32C21624"/>
    <w:rsid w:val="3390201E"/>
    <w:rsid w:val="339B1B05"/>
    <w:rsid w:val="34C65534"/>
    <w:rsid w:val="35952E5F"/>
    <w:rsid w:val="35AE7C7C"/>
    <w:rsid w:val="35CF56EB"/>
    <w:rsid w:val="35E46387"/>
    <w:rsid w:val="35F45405"/>
    <w:rsid w:val="372E0571"/>
    <w:rsid w:val="37811E5A"/>
    <w:rsid w:val="3857423E"/>
    <w:rsid w:val="38910D12"/>
    <w:rsid w:val="391D260E"/>
    <w:rsid w:val="39253208"/>
    <w:rsid w:val="392E25E8"/>
    <w:rsid w:val="39A22AAB"/>
    <w:rsid w:val="3B672FAD"/>
    <w:rsid w:val="3B697D24"/>
    <w:rsid w:val="3B8D6F71"/>
    <w:rsid w:val="3BC85286"/>
    <w:rsid w:val="3BE80BA7"/>
    <w:rsid w:val="3C432323"/>
    <w:rsid w:val="3CDF3FE8"/>
    <w:rsid w:val="3D8E1B4D"/>
    <w:rsid w:val="3DA52C43"/>
    <w:rsid w:val="3E02037F"/>
    <w:rsid w:val="3E127C22"/>
    <w:rsid w:val="3EDA6843"/>
    <w:rsid w:val="3F8358D7"/>
    <w:rsid w:val="3FE7145D"/>
    <w:rsid w:val="40354679"/>
    <w:rsid w:val="405149DC"/>
    <w:rsid w:val="40EB11DB"/>
    <w:rsid w:val="41C41EC6"/>
    <w:rsid w:val="42043C22"/>
    <w:rsid w:val="424A3DB7"/>
    <w:rsid w:val="440910F8"/>
    <w:rsid w:val="44EE0607"/>
    <w:rsid w:val="44EE4DF6"/>
    <w:rsid w:val="45D26B5A"/>
    <w:rsid w:val="46146ADE"/>
    <w:rsid w:val="46970710"/>
    <w:rsid w:val="4878150D"/>
    <w:rsid w:val="487E5039"/>
    <w:rsid w:val="48AF414A"/>
    <w:rsid w:val="48DC2970"/>
    <w:rsid w:val="48E54407"/>
    <w:rsid w:val="495A060F"/>
    <w:rsid w:val="4A707C9E"/>
    <w:rsid w:val="4ADD1807"/>
    <w:rsid w:val="4B08477A"/>
    <w:rsid w:val="4B1505F7"/>
    <w:rsid w:val="4C543465"/>
    <w:rsid w:val="4CBA6231"/>
    <w:rsid w:val="4CFE5A61"/>
    <w:rsid w:val="4D5B597A"/>
    <w:rsid w:val="4E0C4824"/>
    <w:rsid w:val="4E9702AC"/>
    <w:rsid w:val="4FD73B81"/>
    <w:rsid w:val="510C6D30"/>
    <w:rsid w:val="51131507"/>
    <w:rsid w:val="519F4363"/>
    <w:rsid w:val="51CD1B28"/>
    <w:rsid w:val="524A2AC9"/>
    <w:rsid w:val="54713FE8"/>
    <w:rsid w:val="54AE3389"/>
    <w:rsid w:val="55616300"/>
    <w:rsid w:val="55AA21A9"/>
    <w:rsid w:val="55C83279"/>
    <w:rsid w:val="56383675"/>
    <w:rsid w:val="563D098A"/>
    <w:rsid w:val="57533F11"/>
    <w:rsid w:val="582232DD"/>
    <w:rsid w:val="58DE626C"/>
    <w:rsid w:val="59637709"/>
    <w:rsid w:val="596C60C4"/>
    <w:rsid w:val="59B5456C"/>
    <w:rsid w:val="5B255422"/>
    <w:rsid w:val="5B447CB5"/>
    <w:rsid w:val="5BA96E15"/>
    <w:rsid w:val="5BC9553B"/>
    <w:rsid w:val="5C386B34"/>
    <w:rsid w:val="5C8005D2"/>
    <w:rsid w:val="5C904CB9"/>
    <w:rsid w:val="5C9D67AD"/>
    <w:rsid w:val="5CE526BC"/>
    <w:rsid w:val="5D353127"/>
    <w:rsid w:val="5D3C5DC5"/>
    <w:rsid w:val="5DE257CF"/>
    <w:rsid w:val="5E285BEB"/>
    <w:rsid w:val="5EC41AF8"/>
    <w:rsid w:val="5F010798"/>
    <w:rsid w:val="5F1122AA"/>
    <w:rsid w:val="5F3011E4"/>
    <w:rsid w:val="60BD1DF5"/>
    <w:rsid w:val="60BF04C9"/>
    <w:rsid w:val="60DD4245"/>
    <w:rsid w:val="61077514"/>
    <w:rsid w:val="616E2D4A"/>
    <w:rsid w:val="61D13699"/>
    <w:rsid w:val="61D14F7A"/>
    <w:rsid w:val="634E4F86"/>
    <w:rsid w:val="641F0E7D"/>
    <w:rsid w:val="64213EB4"/>
    <w:rsid w:val="651F63A7"/>
    <w:rsid w:val="656043D9"/>
    <w:rsid w:val="65E55EB3"/>
    <w:rsid w:val="66143311"/>
    <w:rsid w:val="66231AD4"/>
    <w:rsid w:val="66971ACC"/>
    <w:rsid w:val="66B71094"/>
    <w:rsid w:val="67111549"/>
    <w:rsid w:val="671C61EA"/>
    <w:rsid w:val="672464FD"/>
    <w:rsid w:val="67C80358"/>
    <w:rsid w:val="6A0A207D"/>
    <w:rsid w:val="6B2F00BD"/>
    <w:rsid w:val="6CB22A29"/>
    <w:rsid w:val="6D08089B"/>
    <w:rsid w:val="6D3C0949"/>
    <w:rsid w:val="6D5D7554"/>
    <w:rsid w:val="6F8A6DB4"/>
    <w:rsid w:val="6FEB07CB"/>
    <w:rsid w:val="718817D4"/>
    <w:rsid w:val="71E02D73"/>
    <w:rsid w:val="71FD125A"/>
    <w:rsid w:val="722848F5"/>
    <w:rsid w:val="725408B6"/>
    <w:rsid w:val="74914ABF"/>
    <w:rsid w:val="75103608"/>
    <w:rsid w:val="75624B17"/>
    <w:rsid w:val="75971772"/>
    <w:rsid w:val="75AE4CA8"/>
    <w:rsid w:val="75B41EB7"/>
    <w:rsid w:val="76232287"/>
    <w:rsid w:val="7674595F"/>
    <w:rsid w:val="76C51DEF"/>
    <w:rsid w:val="77254446"/>
    <w:rsid w:val="7755024E"/>
    <w:rsid w:val="77B27D81"/>
    <w:rsid w:val="77DC4E63"/>
    <w:rsid w:val="78B673FD"/>
    <w:rsid w:val="78E76C8E"/>
    <w:rsid w:val="794E653E"/>
    <w:rsid w:val="79C93424"/>
    <w:rsid w:val="79CD4BFB"/>
    <w:rsid w:val="79E53F04"/>
    <w:rsid w:val="79E6322F"/>
    <w:rsid w:val="79EA1CF8"/>
    <w:rsid w:val="7A412120"/>
    <w:rsid w:val="7A637111"/>
    <w:rsid w:val="7A76760F"/>
    <w:rsid w:val="7AC008BC"/>
    <w:rsid w:val="7AE8306A"/>
    <w:rsid w:val="7CD66B09"/>
    <w:rsid w:val="7CED28F6"/>
    <w:rsid w:val="7D55333C"/>
    <w:rsid w:val="7D9C12B8"/>
    <w:rsid w:val="7EC463BA"/>
    <w:rsid w:val="7ECC7A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eastAsia="仿宋" w:asciiTheme="minorHAnsi" w:hAnsiTheme="minorHAnsi" w:cstheme="minorBidi"/>
      <w:kern w:val="2"/>
      <w:sz w:val="32"/>
      <w:szCs w:val="24"/>
      <w:lang w:val="en-US" w:eastAsia="zh-CN" w:bidi="ar-SA"/>
    </w:rPr>
  </w:style>
  <w:style w:type="paragraph" w:styleId="2">
    <w:name w:val="heading 1"/>
    <w:basedOn w:val="1"/>
    <w:next w:val="1"/>
    <w:qFormat/>
    <w:uiPriority w:val="9"/>
    <w:pPr>
      <w:keepNext/>
      <w:keepLines/>
      <w:spacing w:after="300" w:afterLines="300" w:line="240" w:lineRule="auto"/>
      <w:ind w:firstLine="0" w:firstLineChars="0"/>
      <w:jc w:val="center"/>
      <w:outlineLvl w:val="0"/>
    </w:pPr>
    <w:rPr>
      <w:rFonts w:eastAsia="黑体"/>
      <w:b/>
      <w:bCs/>
      <w:kern w:val="44"/>
      <w:sz w:val="30"/>
      <w:szCs w:val="44"/>
    </w:rPr>
  </w:style>
  <w:style w:type="paragraph" w:styleId="3">
    <w:name w:val="heading 2"/>
    <w:basedOn w:val="1"/>
    <w:next w:val="1"/>
    <w:qFormat/>
    <w:uiPriority w:val="0"/>
    <w:pPr>
      <w:keepNext/>
      <w:keepLines/>
      <w:spacing w:before="260" w:beforeAutospacing="0" w:after="260" w:afterAutospacing="0" w:line="413" w:lineRule="auto"/>
      <w:outlineLvl w:val="1"/>
    </w:pPr>
    <w:rPr>
      <w:rFonts w:ascii="Arial" w:hAnsi="Arial" w:eastAsia="黑体"/>
      <w:b/>
      <w:sz w:val="32"/>
    </w:rPr>
  </w:style>
  <w:style w:type="paragraph" w:styleId="4">
    <w:name w:val="heading 3"/>
    <w:basedOn w:val="1"/>
    <w:next w:val="1"/>
    <w:link w:val="24"/>
    <w:qFormat/>
    <w:uiPriority w:val="0"/>
    <w:pPr>
      <w:keepNext/>
      <w:keepLines/>
      <w:spacing w:before="260" w:after="260" w:line="413" w:lineRule="auto"/>
      <w:jc w:val="center"/>
      <w:outlineLvl w:val="2"/>
    </w:pPr>
    <w:rPr>
      <w:b/>
      <w:sz w:val="36"/>
    </w:rPr>
  </w:style>
  <w:style w:type="paragraph" w:styleId="5">
    <w:name w:val="heading 4"/>
    <w:basedOn w:val="1"/>
    <w:next w:val="1"/>
    <w:qFormat/>
    <w:uiPriority w:val="0"/>
    <w:pPr>
      <w:keepNext/>
      <w:keepLines/>
      <w:spacing w:before="280" w:after="290" w:line="372" w:lineRule="auto"/>
      <w:jc w:val="left"/>
      <w:outlineLvl w:val="3"/>
    </w:pPr>
    <w:rPr>
      <w:rFonts w:ascii="Arial" w:hAnsi="Arial"/>
      <w:b/>
    </w:rPr>
  </w:style>
  <w:style w:type="paragraph" w:styleId="6">
    <w:name w:val="heading 5"/>
    <w:basedOn w:val="1"/>
    <w:next w:val="1"/>
    <w:qFormat/>
    <w:uiPriority w:val="0"/>
    <w:pPr>
      <w:keepNext/>
      <w:keepLines/>
      <w:spacing w:before="280" w:beforeAutospacing="0" w:after="290" w:afterAutospacing="0" w:line="372" w:lineRule="auto"/>
      <w:outlineLvl w:val="4"/>
    </w:pPr>
    <w:rPr>
      <w:b/>
      <w:sz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spacing w:line="360" w:lineRule="auto"/>
      <w:ind w:firstLine="420" w:firstLineChars="200"/>
    </w:pPr>
    <w:rPr>
      <w:rFonts w:ascii="Calibri" w:hAnsi="Calibri" w:eastAsia="宋体" w:cs="Times New Roman"/>
      <w:sz w:val="28"/>
    </w:rPr>
  </w:style>
  <w:style w:type="paragraph" w:styleId="8">
    <w:name w:val="annotation text"/>
    <w:basedOn w:val="1"/>
    <w:qFormat/>
    <w:uiPriority w:val="0"/>
    <w:pPr>
      <w:jc w:val="left"/>
    </w:pPr>
  </w:style>
  <w:style w:type="paragraph" w:styleId="9">
    <w:name w:val="Body Text"/>
    <w:basedOn w:val="1"/>
    <w:qFormat/>
    <w:uiPriority w:val="0"/>
    <w:rPr>
      <w:rFonts w:ascii="华文仿宋" w:hAnsi="华文仿宋" w:eastAsia="华文仿宋"/>
    </w:rPr>
  </w:style>
  <w:style w:type="paragraph" w:styleId="10">
    <w:name w:val="toc 3"/>
    <w:basedOn w:val="1"/>
    <w:next w:val="1"/>
    <w:qFormat/>
    <w:uiPriority w:val="0"/>
    <w:pPr>
      <w:ind w:left="840" w:leftChars="400"/>
    </w:p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unhideWhenUsed/>
    <w:qFormat/>
    <w:uiPriority w:val="99"/>
    <w:pP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6">
    <w:name w:val="Title"/>
    <w:basedOn w:val="1"/>
    <w:next w:val="1"/>
    <w:link w:val="23"/>
    <w:qFormat/>
    <w:uiPriority w:val="9"/>
    <w:pPr>
      <w:keepNext/>
      <w:keepLines/>
      <w:spacing w:before="0" w:after="0" w:line="408" w:lineRule="auto"/>
      <w:jc w:val="center"/>
      <w:outlineLvl w:val="0"/>
    </w:pPr>
    <w:rPr>
      <w:b/>
      <w:bCs/>
      <w:color w:val="1A1A1A"/>
      <w:sz w:val="48"/>
      <w:szCs w:val="48"/>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0563C1" w:themeColor="hyperlink"/>
      <w:u w:val="single"/>
      <w14:textFill>
        <w14:solidFill>
          <w14:schemeClr w14:val="hlink"/>
        </w14:solidFill>
      </w14:textFill>
    </w:rPr>
  </w:style>
  <w:style w:type="paragraph" w:customStyle="1" w:styleId="21">
    <w:name w:val="nj正文"/>
    <w:basedOn w:val="1"/>
    <w:qFormat/>
    <w:uiPriority w:val="0"/>
    <w:pPr>
      <w:ind w:firstLine="0" w:firstLineChars="0"/>
    </w:pPr>
    <w:rPr>
      <w:szCs w:val="28"/>
    </w:rPr>
  </w:style>
  <w:style w:type="paragraph" w:customStyle="1" w:styleId="22">
    <w:name w:val="List Paragraph"/>
    <w:basedOn w:val="1"/>
    <w:qFormat/>
    <w:uiPriority w:val="34"/>
    <w:pPr>
      <w:ind w:firstLine="420" w:firstLineChars="200"/>
    </w:pPr>
  </w:style>
  <w:style w:type="character" w:customStyle="1" w:styleId="23">
    <w:name w:val="标题 Char"/>
    <w:basedOn w:val="19"/>
    <w:link w:val="16"/>
    <w:qFormat/>
    <w:uiPriority w:val="10"/>
    <w:rPr>
      <w:b/>
      <w:bCs/>
      <w:color w:val="1A1A1A"/>
      <w:sz w:val="48"/>
      <w:szCs w:val="48"/>
    </w:rPr>
  </w:style>
  <w:style w:type="character" w:customStyle="1" w:styleId="24">
    <w:name w:val="标题 3 Char"/>
    <w:basedOn w:val="19"/>
    <w:link w:val="4"/>
    <w:qFormat/>
    <w:uiPriority w:val="9"/>
    <w:rPr>
      <w:b/>
      <w:sz w:val="36"/>
    </w:rPr>
  </w:style>
  <w:style w:type="paragraph" w:customStyle="1" w:styleId="25">
    <w:name w:val="WPSOffice手动目录 1"/>
    <w:qFormat/>
    <w:uiPriority w:val="0"/>
    <w:pPr>
      <w:ind w:leftChars="0"/>
    </w:pPr>
    <w:rPr>
      <w:rFonts w:asciiTheme="minorHAnsi" w:hAnsiTheme="minorHAnsi" w:eastAsiaTheme="minorEastAsia" w:cstheme="minorBidi"/>
      <w:sz w:val="20"/>
      <w:szCs w:val="20"/>
    </w:rPr>
  </w:style>
  <w:style w:type="paragraph" w:customStyle="1" w:styleId="26">
    <w:name w:val="WPSOffice手动目录 2"/>
    <w:qFormat/>
    <w:uiPriority w:val="0"/>
    <w:pPr>
      <w:ind w:leftChars="200"/>
    </w:pPr>
    <w:rPr>
      <w:rFonts w:asciiTheme="minorHAnsi" w:hAnsiTheme="minorHAnsi" w:eastAsiaTheme="minorEastAsia" w:cstheme="minorBidi"/>
      <w:sz w:val="20"/>
      <w:szCs w:val="20"/>
    </w:rPr>
  </w:style>
  <w:style w:type="paragraph" w:customStyle="1" w:styleId="27">
    <w:name w:val="TOC Heading"/>
    <w:basedOn w:val="2"/>
    <w:next w:val="1"/>
    <w:unhideWhenUsed/>
    <w:qFormat/>
    <w:uiPriority w:val="39"/>
    <w:pPr>
      <w:widowControl/>
      <w:spacing w:before="240" w:after="0" w:afterLines="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28">
    <w:name w:val="No Spacing"/>
    <w:qFormat/>
    <w:uiPriority w:val="1"/>
    <w:rPr>
      <w:rFonts w:asciiTheme="minorHAnsi" w:hAnsiTheme="minorHAnsi" w:eastAsiaTheme="minorEastAsia" w:cstheme="minorBidi"/>
      <w:sz w:val="22"/>
      <w:szCs w:val="22"/>
      <w:lang w:val="en-US" w:eastAsia="zh-CN" w:bidi="ar-SA"/>
    </w:rPr>
  </w:style>
  <w:style w:type="paragraph" w:customStyle="1" w:styleId="29">
    <w:name w:val="表格内容"/>
    <w:basedOn w:val="1"/>
    <w:qFormat/>
    <w:uiPriority w:val="0"/>
    <w:pPr>
      <w:widowControl w:val="0"/>
      <w:ind w:firstLine="0" w:firstLineChars="0"/>
      <w:jc w:val="center"/>
    </w:pPr>
    <w:rPr>
      <w:rFonts w:ascii="Times New Roman" w:hAnsi="Times New Roman" w:cs="Times New Roman"/>
      <w:kern w:val="2"/>
      <w:sz w:val="21"/>
    </w:rPr>
  </w:style>
  <w:style w:type="paragraph" w:customStyle="1" w:styleId="30">
    <w:name w:val="标题2_基于章节格式"/>
    <w:basedOn w:val="3"/>
    <w:next w:val="1"/>
    <w:qFormat/>
    <w:uiPriority w:val="0"/>
    <w:pPr>
      <w:widowControl/>
      <w:spacing w:before="0" w:after="0" w:line="600" w:lineRule="exact"/>
      <w:jc w:val="center"/>
    </w:pPr>
    <w:rPr>
      <w:rFonts w:ascii="Times New Roman" w:hAnsi="Times New Roman" w:eastAsia="楷体_GB2312" w:cstheme="minorBidi"/>
      <w:szCs w:val="22"/>
    </w:rPr>
  </w:style>
  <w:style w:type="paragraph" w:customStyle="1" w:styleId="31">
    <w:name w:val="附录表格文字"/>
    <w:basedOn w:val="1"/>
    <w:qFormat/>
    <w:uiPriority w:val="0"/>
    <w:pPr>
      <w:widowControl/>
      <w:tabs>
        <w:tab w:val="left" w:pos="360"/>
      </w:tabs>
      <w:spacing w:line="240" w:lineRule="auto"/>
      <w:ind w:firstLine="0" w:firstLineChars="0"/>
      <w:jc w:val="center"/>
    </w:pPr>
    <w:rPr>
      <w:rFonts w:hint="eastAsia" w:ascii="Times New Roman" w:hAnsi="Times New Roman" w:cs="等线"/>
      <w:kern w:val="0"/>
      <w:sz w:val="21"/>
      <w:szCs w:val="21"/>
    </w:rPr>
  </w:style>
  <w:style w:type="paragraph" w:customStyle="1" w:styleId="32">
    <w:name w:val="表格文字"/>
    <w:basedOn w:val="1"/>
    <w:qFormat/>
    <w:uiPriority w:val="0"/>
    <w:pPr>
      <w:widowControl/>
      <w:numPr>
        <w:ilvl w:val="8"/>
        <w:numId w:val="0"/>
      </w:numPr>
      <w:tabs>
        <w:tab w:val="left" w:pos="360"/>
      </w:tabs>
      <w:spacing w:line="240" w:lineRule="auto"/>
      <w:jc w:val="center"/>
    </w:pPr>
    <w:rPr>
      <w:rFonts w:ascii="Times New Roman" w:hAnsi="Times New Roman" w:cs="等线"/>
      <w:kern w:val="0"/>
      <w:sz w:val="21"/>
      <w:szCs w:val="21"/>
    </w:rPr>
  </w:style>
  <w:style w:type="paragraph" w:customStyle="1" w:styleId="33">
    <w:name w:val="封面"/>
    <w:basedOn w:val="1"/>
    <w:qFormat/>
    <w:uiPriority w:val="0"/>
    <w:pPr>
      <w:ind w:firstLine="0" w:firstLineChars="0"/>
      <w:jc w:val="center"/>
    </w:pPr>
    <w:rPr>
      <w:rFonts w:ascii="黑体" w:hAnsi="黑体" w:eastAsia="黑体"/>
      <w:sz w:val="44"/>
      <w:szCs w:val="44"/>
    </w:rPr>
  </w:style>
  <w:style w:type="table" w:customStyle="1" w:styleId="34">
    <w:name w:val="Table Normal"/>
    <w:unhideWhenUsed/>
    <w:qFormat/>
    <w:uiPriority w:val="0"/>
    <w:tblPr>
      <w:tblCellMar>
        <w:top w:w="0" w:type="dxa"/>
        <w:left w:w="0" w:type="dxa"/>
        <w:bottom w:w="0" w:type="dxa"/>
        <w:right w:w="0" w:type="dxa"/>
      </w:tblCellMar>
    </w:tblPr>
  </w:style>
  <w:style w:type="paragraph" w:customStyle="1" w:styleId="35">
    <w:name w:val="Table Text"/>
    <w:basedOn w:val="1"/>
    <w:semiHidden/>
    <w:qFormat/>
    <w:uiPriority w:val="0"/>
    <w:rPr>
      <w:rFonts w:ascii="仿宋" w:hAnsi="仿宋" w:eastAsia="仿宋" w:cs="仿宋"/>
      <w:sz w:val="24"/>
      <w:szCs w:val="24"/>
      <w:lang w:val="en-US" w:eastAsia="en-US" w:bidi="ar-SA"/>
    </w:rPr>
  </w:style>
  <w:style w:type="character" w:customStyle="1" w:styleId="36">
    <w:name w:val="font11"/>
    <w:basedOn w:val="19"/>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408</Words>
  <Characters>493</Characters>
  <Lines>1</Lines>
  <Paragraphs>1</Paragraphs>
  <TotalTime>9</TotalTime>
  <ScaleCrop>false</ScaleCrop>
  <LinksUpToDate>false</LinksUpToDate>
  <CharactersWithSpaces>558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2023-07-18T09:16:00Z</dcterms:created>
  <dc:creator>心心念念</dc:creator>
  <cp:lastModifiedBy>小道消息</cp:lastModifiedBy>
  <dcterms:modified xsi:type="dcterms:W3CDTF">2026-10-08T09:19:49Z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9FC5F50F289846CE85E150C9228A4306_13</vt:lpwstr>
  </property>
  <property fmtid="{D5CDD505-2E9C-101B-9397-08002B2CF9AE}" pid="4" name="KSOTemplateDocerSaveRecord">
    <vt:lpwstr>eyJoZGlkIjoiZDNiYjk3MGNjMzU0YjdjMjM1YTIzYjJhNTRhYWE0NTIiLCJ1c2VySWQiOiIxMTI5OTMxODMyIn0=</vt:lpwstr>
  </property>
</Properties>
</file>